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DD" w:rsidRPr="00DD79E1" w:rsidRDefault="00F113C5" w:rsidP="00AF71DD">
      <w:pPr>
        <w:spacing w:after="0" w:line="240" w:lineRule="auto"/>
        <w:jc w:val="center"/>
        <w:rPr>
          <w:rFonts w:ascii="Garamond" w:eastAsia="Times New Roman" w:hAnsi="Garamond" w:cs="Times New Roman"/>
          <w:b/>
          <w:bCs/>
          <w:sz w:val="24"/>
          <w:szCs w:val="24"/>
        </w:rPr>
      </w:pPr>
      <w:r w:rsidRPr="00DD79E1">
        <w:rPr>
          <w:rFonts w:ascii="Garamond" w:eastAsia="Times New Roman" w:hAnsi="Garamond" w:cs="Times New Roman"/>
          <w:b/>
          <w:bCs/>
          <w:sz w:val="24"/>
          <w:szCs w:val="24"/>
        </w:rPr>
        <w:t>Pe</w:t>
      </w:r>
      <w:r w:rsidR="00AF71DD" w:rsidRPr="00DD79E1">
        <w:rPr>
          <w:rFonts w:ascii="Garamond" w:eastAsia="Times New Roman" w:hAnsi="Garamond" w:cs="Times New Roman"/>
          <w:b/>
          <w:bCs/>
          <w:sz w:val="24"/>
          <w:szCs w:val="24"/>
        </w:rPr>
        <w:t>mbaruan Hukum Wakaf Dalam Penyelesaian Problematika Perwakafan di Provinsi Lampung dan Sumatera Selatan</w:t>
      </w:r>
    </w:p>
    <w:p w:rsidR="00215399" w:rsidRPr="00DD79E1" w:rsidRDefault="009847D7" w:rsidP="00AF71DD">
      <w:pPr>
        <w:spacing w:before="360" w:after="120"/>
        <w:jc w:val="center"/>
        <w:rPr>
          <w:rFonts w:ascii="Garamond" w:eastAsia="Garamond" w:hAnsi="Garamond" w:cs="Garamond"/>
          <w:b/>
          <w:sz w:val="24"/>
          <w:szCs w:val="24"/>
        </w:rPr>
      </w:pPr>
      <w:r w:rsidRPr="00DD79E1">
        <w:rPr>
          <w:rFonts w:ascii="Garamond" w:eastAsia="Garamond" w:hAnsi="Garamond" w:cs="Garamond"/>
          <w:b/>
          <w:sz w:val="24"/>
          <w:szCs w:val="24"/>
          <w:vertAlign w:val="superscript"/>
        </w:rPr>
        <w:t>*</w:t>
      </w:r>
      <w:r w:rsidR="00AF71DD" w:rsidRPr="00DD79E1">
        <w:rPr>
          <w:rFonts w:ascii="Garamond" w:eastAsia="Garamond" w:hAnsi="Garamond" w:cs="Garamond"/>
          <w:b/>
          <w:sz w:val="24"/>
          <w:szCs w:val="24"/>
        </w:rPr>
        <w:t>Fathul Mu’in</w:t>
      </w:r>
      <w:r w:rsidRPr="00DD79E1">
        <w:rPr>
          <w:rFonts w:ascii="Garamond" w:eastAsia="Garamond" w:hAnsi="Garamond" w:cs="Garamond"/>
          <w:b/>
          <w:sz w:val="24"/>
          <w:szCs w:val="24"/>
          <w:vertAlign w:val="superscript"/>
        </w:rPr>
        <w:t>1</w:t>
      </w:r>
      <w:r w:rsidRPr="00DD79E1">
        <w:rPr>
          <w:rFonts w:ascii="Garamond" w:eastAsia="Garamond" w:hAnsi="Garamond" w:cs="Garamond"/>
          <w:b/>
          <w:sz w:val="24"/>
          <w:szCs w:val="24"/>
        </w:rPr>
        <w:t xml:space="preserve">, </w:t>
      </w:r>
      <w:r w:rsidR="00AF71DD" w:rsidRPr="00DD79E1">
        <w:rPr>
          <w:rFonts w:ascii="Garamond" w:eastAsia="Garamond" w:hAnsi="Garamond" w:cs="Garamond"/>
          <w:b/>
          <w:sz w:val="24"/>
          <w:szCs w:val="24"/>
        </w:rPr>
        <w:t>Faisal</w:t>
      </w:r>
      <w:r w:rsidRPr="00DD79E1">
        <w:rPr>
          <w:rFonts w:ascii="Garamond" w:eastAsia="Garamond" w:hAnsi="Garamond" w:cs="Garamond"/>
          <w:b/>
          <w:sz w:val="24"/>
          <w:szCs w:val="24"/>
          <w:vertAlign w:val="superscript"/>
        </w:rPr>
        <w:t>2</w:t>
      </w:r>
      <w:r w:rsidRPr="00DD79E1">
        <w:rPr>
          <w:rFonts w:ascii="Garamond" w:eastAsia="Garamond" w:hAnsi="Garamond" w:cs="Garamond"/>
          <w:b/>
          <w:sz w:val="24"/>
          <w:szCs w:val="24"/>
        </w:rPr>
        <w:t xml:space="preserve">, </w:t>
      </w:r>
      <w:r w:rsidR="00AF71DD" w:rsidRPr="00DD79E1">
        <w:rPr>
          <w:rFonts w:ascii="Garamond" w:eastAsia="Garamond" w:hAnsi="Garamond" w:cs="Garamond"/>
          <w:b/>
          <w:sz w:val="24"/>
          <w:szCs w:val="24"/>
        </w:rPr>
        <w:t>Nurullia Febriati</w:t>
      </w:r>
      <w:r w:rsidRPr="00DD79E1">
        <w:rPr>
          <w:rFonts w:ascii="Garamond" w:eastAsia="Garamond" w:hAnsi="Garamond" w:cs="Garamond"/>
          <w:b/>
          <w:sz w:val="24"/>
          <w:szCs w:val="24"/>
          <w:vertAlign w:val="superscript"/>
        </w:rPr>
        <w:t>3</w:t>
      </w:r>
    </w:p>
    <w:p w:rsidR="00215399" w:rsidRPr="00DD79E1" w:rsidRDefault="00AF71DD" w:rsidP="00AF71DD">
      <w:pPr>
        <w:spacing w:after="0"/>
        <w:jc w:val="center"/>
        <w:rPr>
          <w:rFonts w:ascii="Garamond" w:eastAsia="Garamond" w:hAnsi="Garamond" w:cs="Garamond"/>
          <w:sz w:val="24"/>
          <w:szCs w:val="24"/>
        </w:rPr>
      </w:pPr>
      <w:r w:rsidRPr="00DD79E1">
        <w:rPr>
          <w:rFonts w:ascii="Garamond" w:eastAsia="Garamond" w:hAnsi="Garamond" w:cs="Garamond"/>
          <w:sz w:val="24"/>
          <w:szCs w:val="24"/>
        </w:rPr>
        <w:t xml:space="preserve">Universitas Islam Negeri Raden Intan Lampung, </w:t>
      </w:r>
      <w:r w:rsidR="009847D7" w:rsidRPr="00DD79E1">
        <w:rPr>
          <w:rFonts w:ascii="Garamond" w:eastAsia="Garamond" w:hAnsi="Garamond" w:cs="Garamond"/>
          <w:sz w:val="24"/>
          <w:szCs w:val="24"/>
        </w:rPr>
        <w:t>Indonesia</w:t>
      </w:r>
      <w:r w:rsidR="009847D7" w:rsidRPr="00DD79E1">
        <w:rPr>
          <w:rFonts w:ascii="Garamond" w:eastAsia="Garamond" w:hAnsi="Garamond" w:cs="Garamond"/>
          <w:sz w:val="24"/>
          <w:szCs w:val="24"/>
          <w:vertAlign w:val="superscript"/>
        </w:rPr>
        <w:t>1</w:t>
      </w:r>
      <w:proofErr w:type="gramStart"/>
      <w:r w:rsidR="009847D7" w:rsidRPr="00DD79E1">
        <w:rPr>
          <w:rFonts w:ascii="Garamond" w:eastAsia="Garamond" w:hAnsi="Garamond" w:cs="Garamond"/>
          <w:sz w:val="24"/>
          <w:szCs w:val="24"/>
          <w:vertAlign w:val="superscript"/>
        </w:rPr>
        <w:t>,2</w:t>
      </w:r>
      <w:proofErr w:type="gramEnd"/>
      <w:r w:rsidR="009847D7" w:rsidRPr="00DD79E1">
        <w:rPr>
          <w:rFonts w:ascii="Garamond" w:eastAsia="Garamond" w:hAnsi="Garamond" w:cs="Garamond"/>
          <w:sz w:val="24"/>
          <w:szCs w:val="24"/>
          <w:vertAlign w:val="superscript"/>
        </w:rPr>
        <w:t xml:space="preserve"> </w:t>
      </w:r>
      <w:r w:rsidR="009847D7" w:rsidRPr="00DD79E1">
        <w:rPr>
          <w:rFonts w:ascii="Garamond" w:eastAsia="Garamond" w:hAnsi="Garamond" w:cs="Garamond"/>
          <w:sz w:val="24"/>
          <w:szCs w:val="24"/>
        </w:rPr>
        <w:t>(12 pt)</w:t>
      </w:r>
    </w:p>
    <w:p w:rsidR="00215399" w:rsidRPr="00DD79E1" w:rsidRDefault="009847D7" w:rsidP="00AF71DD">
      <w:pPr>
        <w:spacing w:after="120"/>
        <w:jc w:val="center"/>
        <w:rPr>
          <w:rFonts w:ascii="Garamond" w:eastAsia="Garamond" w:hAnsi="Garamond" w:cs="Garamond"/>
          <w:sz w:val="24"/>
          <w:szCs w:val="24"/>
          <w:vertAlign w:val="superscript"/>
        </w:rPr>
      </w:pPr>
      <w:r w:rsidRPr="00DD79E1">
        <w:rPr>
          <w:rFonts w:ascii="Garamond" w:eastAsia="Garamond" w:hAnsi="Garamond" w:cs="Garamond"/>
          <w:sz w:val="24"/>
          <w:szCs w:val="24"/>
        </w:rPr>
        <w:t>Universi</w:t>
      </w:r>
      <w:r w:rsidR="00AF71DD" w:rsidRPr="00DD79E1">
        <w:rPr>
          <w:rFonts w:ascii="Garamond" w:eastAsia="Garamond" w:hAnsi="Garamond" w:cs="Garamond"/>
          <w:sz w:val="24"/>
          <w:szCs w:val="24"/>
        </w:rPr>
        <w:t>tas Lampung</w:t>
      </w:r>
      <w:r w:rsidRPr="00DD79E1">
        <w:rPr>
          <w:rFonts w:ascii="Garamond" w:eastAsia="Garamond" w:hAnsi="Garamond" w:cs="Garamond"/>
          <w:sz w:val="24"/>
          <w:szCs w:val="24"/>
        </w:rPr>
        <w:t xml:space="preserve">, </w:t>
      </w:r>
      <w:r w:rsidR="00AF71DD" w:rsidRPr="00DD79E1">
        <w:rPr>
          <w:rFonts w:ascii="Garamond" w:eastAsia="Garamond" w:hAnsi="Garamond" w:cs="Garamond"/>
          <w:sz w:val="24"/>
          <w:szCs w:val="24"/>
        </w:rPr>
        <w:t>Indonesia</w:t>
      </w:r>
      <w:r w:rsidRPr="00DD79E1">
        <w:rPr>
          <w:rFonts w:ascii="Garamond" w:eastAsia="Garamond" w:hAnsi="Garamond" w:cs="Garamond"/>
          <w:sz w:val="24"/>
          <w:szCs w:val="24"/>
          <w:vertAlign w:val="superscript"/>
        </w:rPr>
        <w:t xml:space="preserve">3 </w:t>
      </w:r>
    </w:p>
    <w:p w:rsidR="00215399" w:rsidRPr="00DD79E1" w:rsidRDefault="009847D7">
      <w:pPr>
        <w:spacing w:before="120" w:after="120"/>
        <w:jc w:val="center"/>
        <w:rPr>
          <w:rFonts w:ascii="Garamond" w:eastAsia="Garamond" w:hAnsi="Garamond" w:cs="Garamond"/>
          <w:sz w:val="24"/>
          <w:szCs w:val="24"/>
          <w:vertAlign w:val="superscript"/>
        </w:rPr>
      </w:pPr>
      <w:r w:rsidRPr="00DD79E1">
        <w:rPr>
          <w:rFonts w:ascii="Garamond" w:eastAsia="Garamond" w:hAnsi="Garamond" w:cs="Garamond"/>
          <w:sz w:val="24"/>
          <w:szCs w:val="24"/>
        </w:rPr>
        <w:t>Corresponding author:</w:t>
      </w:r>
      <w:r w:rsidRPr="00DD79E1">
        <w:rPr>
          <w:rFonts w:ascii="Garamond" w:eastAsia="Garamond" w:hAnsi="Garamond" w:cs="Garamond"/>
          <w:b/>
          <w:sz w:val="24"/>
          <w:szCs w:val="24"/>
        </w:rPr>
        <w:t xml:space="preserve"> </w:t>
      </w:r>
      <w:r w:rsidRPr="00DD79E1">
        <w:rPr>
          <w:rFonts w:ascii="Garamond" w:eastAsia="Garamond" w:hAnsi="Garamond" w:cs="Garamond"/>
          <w:b/>
          <w:sz w:val="24"/>
          <w:szCs w:val="24"/>
          <w:vertAlign w:val="superscript"/>
        </w:rPr>
        <w:t>*</w:t>
      </w:r>
      <w:r w:rsidRPr="00DD79E1">
        <w:rPr>
          <w:rFonts w:ascii="Garamond" w:eastAsia="Garamond" w:hAnsi="Garamond" w:cs="Garamond"/>
          <w:sz w:val="24"/>
          <w:szCs w:val="24"/>
        </w:rPr>
        <w:t>musdaasmara@iaincurup.ac.id</w:t>
      </w:r>
    </w:p>
    <w:tbl>
      <w:tblPr>
        <w:tblStyle w:val="a"/>
        <w:tblW w:w="751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938"/>
        <w:gridCol w:w="2544"/>
        <w:gridCol w:w="2471"/>
      </w:tblGrid>
      <w:tr w:rsidR="00DD79E1" w:rsidRPr="00DD79E1">
        <w:trPr>
          <w:trHeight w:val="301"/>
        </w:trPr>
        <w:tc>
          <w:tcPr>
            <w:tcW w:w="7513" w:type="dxa"/>
            <w:gridSpan w:val="4"/>
            <w:tcBorders>
              <w:left w:val="nil"/>
              <w:right w:val="nil"/>
            </w:tcBorders>
          </w:tcPr>
          <w:p w:rsidR="00215399" w:rsidRPr="00DD79E1" w:rsidRDefault="009847D7">
            <w:pPr>
              <w:spacing w:after="120" w:line="240" w:lineRule="auto"/>
              <w:rPr>
                <w:rFonts w:ascii="Garamond" w:eastAsia="Garamond" w:hAnsi="Garamond" w:cs="Garamond"/>
                <w:sz w:val="24"/>
                <w:szCs w:val="24"/>
              </w:rPr>
            </w:pPr>
            <w:r w:rsidRPr="00DD79E1">
              <w:rPr>
                <w:rFonts w:ascii="Garamond" w:eastAsia="Garamond" w:hAnsi="Garamond" w:cs="Garamond"/>
                <w:sz w:val="24"/>
                <w:szCs w:val="24"/>
              </w:rPr>
              <w:t>DOI: xxx</w:t>
            </w:r>
          </w:p>
        </w:tc>
      </w:tr>
      <w:tr w:rsidR="00DD79E1" w:rsidRPr="00DD79E1">
        <w:trPr>
          <w:trHeight w:val="249"/>
        </w:trPr>
        <w:tc>
          <w:tcPr>
            <w:tcW w:w="2498" w:type="dxa"/>
            <w:gridSpan w:val="2"/>
            <w:tcBorders>
              <w:left w:val="nil"/>
            </w:tcBorders>
          </w:tcPr>
          <w:p w:rsidR="00215399" w:rsidRPr="00DD79E1" w:rsidRDefault="009847D7">
            <w:pPr>
              <w:spacing w:after="120" w:line="240" w:lineRule="auto"/>
              <w:rPr>
                <w:rFonts w:ascii="Garamond" w:eastAsia="Garamond" w:hAnsi="Garamond" w:cs="Garamond"/>
                <w:sz w:val="24"/>
                <w:szCs w:val="24"/>
              </w:rPr>
            </w:pPr>
            <w:r w:rsidRPr="00DD79E1">
              <w:rPr>
                <w:rFonts w:ascii="Garamond" w:eastAsia="Garamond" w:hAnsi="Garamond" w:cs="Garamond"/>
                <w:sz w:val="24"/>
                <w:szCs w:val="24"/>
              </w:rPr>
              <w:t>Received: 11-05-2022</w:t>
            </w:r>
          </w:p>
        </w:tc>
        <w:tc>
          <w:tcPr>
            <w:tcW w:w="2544" w:type="dxa"/>
          </w:tcPr>
          <w:p w:rsidR="00215399" w:rsidRPr="00DD79E1" w:rsidRDefault="009847D7">
            <w:pPr>
              <w:spacing w:after="120" w:line="240" w:lineRule="auto"/>
              <w:rPr>
                <w:rFonts w:ascii="Garamond" w:eastAsia="Garamond" w:hAnsi="Garamond" w:cs="Garamond"/>
                <w:sz w:val="24"/>
                <w:szCs w:val="24"/>
              </w:rPr>
            </w:pPr>
            <w:r w:rsidRPr="00DD79E1">
              <w:rPr>
                <w:rFonts w:ascii="Garamond" w:eastAsia="Garamond" w:hAnsi="Garamond" w:cs="Garamond"/>
                <w:sz w:val="24"/>
                <w:szCs w:val="24"/>
              </w:rPr>
              <w:t>Revised: 16-07-2022</w:t>
            </w:r>
          </w:p>
        </w:tc>
        <w:tc>
          <w:tcPr>
            <w:tcW w:w="2471" w:type="dxa"/>
            <w:tcBorders>
              <w:right w:val="nil"/>
            </w:tcBorders>
          </w:tcPr>
          <w:p w:rsidR="00215399" w:rsidRPr="00DD79E1" w:rsidRDefault="009847D7">
            <w:pPr>
              <w:spacing w:after="120" w:line="240" w:lineRule="auto"/>
              <w:rPr>
                <w:rFonts w:ascii="Garamond" w:eastAsia="Garamond" w:hAnsi="Garamond" w:cs="Garamond"/>
                <w:sz w:val="24"/>
                <w:szCs w:val="24"/>
              </w:rPr>
            </w:pPr>
            <w:r w:rsidRPr="00DD79E1">
              <w:rPr>
                <w:rFonts w:ascii="Garamond" w:eastAsia="Garamond" w:hAnsi="Garamond" w:cs="Garamond"/>
                <w:sz w:val="24"/>
                <w:szCs w:val="24"/>
              </w:rPr>
              <w:t>Accepted: 03-10-2022</w:t>
            </w:r>
          </w:p>
        </w:tc>
      </w:tr>
      <w:tr w:rsidR="00DD79E1" w:rsidRPr="00DD79E1">
        <w:trPr>
          <w:trHeight w:val="282"/>
        </w:trPr>
        <w:tc>
          <w:tcPr>
            <w:tcW w:w="1560" w:type="dxa"/>
            <w:tcBorders>
              <w:left w:val="nil"/>
            </w:tcBorders>
          </w:tcPr>
          <w:p w:rsidR="00215399" w:rsidRPr="00DD79E1" w:rsidRDefault="009847D7">
            <w:pPr>
              <w:spacing w:after="120" w:line="240" w:lineRule="auto"/>
              <w:rPr>
                <w:rFonts w:ascii="Garamond" w:eastAsia="Garamond" w:hAnsi="Garamond" w:cs="Garamond"/>
                <w:sz w:val="24"/>
                <w:szCs w:val="24"/>
              </w:rPr>
            </w:pPr>
            <w:r w:rsidRPr="00DD79E1">
              <w:rPr>
                <w:rFonts w:ascii="Garamond" w:eastAsia="Garamond" w:hAnsi="Garamond" w:cs="Garamond"/>
                <w:sz w:val="24"/>
                <w:szCs w:val="24"/>
              </w:rPr>
              <w:t>Cite this article:</w:t>
            </w:r>
          </w:p>
        </w:tc>
        <w:tc>
          <w:tcPr>
            <w:tcW w:w="5953" w:type="dxa"/>
            <w:gridSpan w:val="3"/>
          </w:tcPr>
          <w:p w:rsidR="00215399" w:rsidRPr="00DD79E1" w:rsidRDefault="009847D7">
            <w:pPr>
              <w:spacing w:after="120" w:line="240" w:lineRule="auto"/>
              <w:jc w:val="both"/>
              <w:rPr>
                <w:rFonts w:ascii="Garamond" w:eastAsia="Garamond" w:hAnsi="Garamond" w:cs="Garamond"/>
                <w:sz w:val="24"/>
                <w:szCs w:val="24"/>
                <w:highlight w:val="white"/>
              </w:rPr>
            </w:pPr>
            <w:r w:rsidRPr="00DD79E1">
              <w:rPr>
                <w:rFonts w:ascii="Garamond" w:eastAsia="Garamond" w:hAnsi="Garamond" w:cs="Garamond"/>
                <w:sz w:val="24"/>
                <w:szCs w:val="24"/>
                <w:highlight w:val="white"/>
              </w:rPr>
              <w:t>Left empty</w:t>
            </w:r>
          </w:p>
          <w:p w:rsidR="00215399" w:rsidRPr="00DD79E1" w:rsidRDefault="00215399">
            <w:pPr>
              <w:spacing w:after="120" w:line="240" w:lineRule="auto"/>
              <w:jc w:val="both"/>
              <w:rPr>
                <w:rFonts w:ascii="Garamond" w:eastAsia="Garamond" w:hAnsi="Garamond" w:cs="Garamond"/>
                <w:sz w:val="24"/>
                <w:szCs w:val="24"/>
                <w:highlight w:val="white"/>
              </w:rPr>
            </w:pPr>
            <w:bookmarkStart w:id="0" w:name="_heading=h.gjdgxs" w:colFirst="0" w:colLast="0"/>
            <w:bookmarkEnd w:id="0"/>
          </w:p>
        </w:tc>
      </w:tr>
    </w:tbl>
    <w:p w:rsidR="00215399" w:rsidRPr="00DD79E1" w:rsidRDefault="009847D7">
      <w:pPr>
        <w:spacing w:before="240" w:after="0" w:line="240" w:lineRule="auto"/>
        <w:jc w:val="center"/>
        <w:rPr>
          <w:rFonts w:ascii="Garamond" w:eastAsia="Garamond" w:hAnsi="Garamond" w:cs="Garamond"/>
          <w:b/>
          <w:sz w:val="24"/>
          <w:szCs w:val="24"/>
        </w:rPr>
      </w:pPr>
      <w:r w:rsidRPr="00DD79E1">
        <w:rPr>
          <w:rFonts w:ascii="Garamond" w:eastAsia="Garamond" w:hAnsi="Garamond" w:cs="Garamond"/>
          <w:b/>
          <w:sz w:val="24"/>
          <w:szCs w:val="24"/>
        </w:rPr>
        <w:t>Abstract</w:t>
      </w:r>
    </w:p>
    <w:p w:rsidR="00AF71DD" w:rsidRPr="00DD79E1" w:rsidRDefault="000E012A" w:rsidP="003F163B">
      <w:pPr>
        <w:tabs>
          <w:tab w:val="left" w:pos="993"/>
        </w:tabs>
        <w:spacing w:after="0" w:line="240" w:lineRule="auto"/>
        <w:ind w:left="426" w:right="3"/>
        <w:jc w:val="both"/>
        <w:rPr>
          <w:rFonts w:ascii="Garamond" w:hAnsi="Garamond" w:cs="Times New Roman"/>
          <w:iCs/>
          <w:sz w:val="24"/>
          <w:szCs w:val="24"/>
        </w:rPr>
      </w:pPr>
      <w:proofErr w:type="gramStart"/>
      <w:r w:rsidRPr="00DD79E1">
        <w:rPr>
          <w:rFonts w:ascii="Garamond" w:hAnsi="Garamond" w:cs="Times New Roman"/>
          <w:iCs/>
          <w:w w:val="110"/>
          <w:sz w:val="24"/>
          <w:szCs w:val="24"/>
        </w:rPr>
        <w:t>Wakaf memiliki potensi besar dalam meningkatkan kesejahteraan ekonomi umat.</w:t>
      </w:r>
      <w:proofErr w:type="gramEnd"/>
      <w:r w:rsidRPr="00DD79E1">
        <w:rPr>
          <w:rFonts w:ascii="Garamond" w:hAnsi="Garamond" w:cs="Times New Roman"/>
          <w:iCs/>
          <w:w w:val="110"/>
          <w:sz w:val="24"/>
          <w:szCs w:val="24"/>
        </w:rPr>
        <w:t xml:space="preserve"> </w:t>
      </w:r>
      <w:proofErr w:type="gramStart"/>
      <w:r w:rsidRPr="00DD79E1">
        <w:rPr>
          <w:rFonts w:ascii="Garamond" w:hAnsi="Garamond" w:cs="Times New Roman"/>
          <w:iCs/>
          <w:w w:val="110"/>
          <w:sz w:val="24"/>
          <w:szCs w:val="24"/>
        </w:rPr>
        <w:t xml:space="preserve">Namun, karena pengelolaanya belum optimal dan regulasi yang relatif sudah using sehingga </w:t>
      </w:r>
      <w:r w:rsidR="00AF71DD" w:rsidRPr="00DD79E1">
        <w:rPr>
          <w:rFonts w:ascii="Garamond" w:hAnsi="Garamond" w:cs="Times New Roman"/>
          <w:iCs/>
          <w:w w:val="110"/>
          <w:sz w:val="24"/>
          <w:szCs w:val="24"/>
        </w:rPr>
        <w:t>tujuan wakaf untuk meningkatkan kesejahteraan ekonomi umat tidak kunjung tercapai.</w:t>
      </w:r>
      <w:proofErr w:type="gramEnd"/>
      <w:r w:rsidR="00AF71DD" w:rsidRPr="00DD79E1">
        <w:rPr>
          <w:rFonts w:ascii="Garamond" w:hAnsi="Garamond" w:cs="Times New Roman"/>
          <w:iCs/>
          <w:w w:val="110"/>
          <w:sz w:val="24"/>
          <w:szCs w:val="24"/>
        </w:rPr>
        <w:t xml:space="preserve"> </w:t>
      </w:r>
      <w:proofErr w:type="gramStart"/>
      <w:r w:rsidR="00AF71DD" w:rsidRPr="00DD79E1">
        <w:rPr>
          <w:rFonts w:ascii="Garamond" w:hAnsi="Garamond" w:cs="Times New Roman"/>
          <w:iCs/>
          <w:w w:val="110"/>
          <w:sz w:val="24"/>
          <w:szCs w:val="24"/>
        </w:rPr>
        <w:t>Penelitian ini mengungkap problem perwakafan di Lampung dan Sumatera Selatan serta bagaimana membangun tata kelola perwakafan modern di Indonesia dengan pembaruan hukum wakaf.</w:t>
      </w:r>
      <w:proofErr w:type="gramEnd"/>
      <w:r w:rsidR="00AF71DD" w:rsidRPr="00DD79E1">
        <w:rPr>
          <w:rFonts w:ascii="Garamond" w:hAnsi="Garamond" w:cs="Times New Roman"/>
          <w:iCs/>
          <w:w w:val="110"/>
          <w:sz w:val="24"/>
          <w:szCs w:val="24"/>
        </w:rPr>
        <w:t xml:space="preserve"> </w:t>
      </w:r>
      <w:proofErr w:type="gramStart"/>
      <w:r w:rsidR="00171505" w:rsidRPr="00DD79E1">
        <w:rPr>
          <w:rFonts w:ascii="Garamond" w:hAnsi="Garamond" w:cs="Times New Roman"/>
          <w:iCs/>
          <w:w w:val="110"/>
          <w:sz w:val="24"/>
          <w:szCs w:val="24"/>
        </w:rPr>
        <w:t xml:space="preserve">Riset ini termasuk riset lapangan, </w:t>
      </w:r>
      <w:r w:rsidR="00AF71DD" w:rsidRPr="00DD79E1">
        <w:rPr>
          <w:rFonts w:ascii="Garamond" w:eastAsia="Cambria" w:hAnsi="Garamond" w:cs="Times New Roman"/>
          <w:iCs/>
          <w:sz w:val="24"/>
          <w:szCs w:val="24"/>
        </w:rPr>
        <w:t xml:space="preserve">datanya </w:t>
      </w:r>
      <w:r w:rsidR="00171505" w:rsidRPr="00DD79E1">
        <w:rPr>
          <w:rFonts w:ascii="Garamond" w:eastAsia="Cambria" w:hAnsi="Garamond" w:cs="Times New Roman"/>
          <w:iCs/>
          <w:sz w:val="24"/>
          <w:szCs w:val="24"/>
        </w:rPr>
        <w:t xml:space="preserve">didapat dari </w:t>
      </w:r>
      <w:r w:rsidR="00AF71DD" w:rsidRPr="00DD79E1">
        <w:rPr>
          <w:rFonts w:ascii="Garamond" w:eastAsia="Cambria" w:hAnsi="Garamond" w:cs="Times New Roman"/>
          <w:iCs/>
          <w:sz w:val="24"/>
          <w:szCs w:val="24"/>
        </w:rPr>
        <w:t>BWI Lampung dan BWI Sumsel serta akademisi di dua daerah tersebut.</w:t>
      </w:r>
      <w:proofErr w:type="gramEnd"/>
      <w:r w:rsidR="00AF71DD" w:rsidRPr="00DD79E1">
        <w:rPr>
          <w:rFonts w:ascii="Garamond" w:eastAsia="Cambria" w:hAnsi="Garamond" w:cs="Times New Roman"/>
          <w:iCs/>
          <w:sz w:val="24"/>
          <w:szCs w:val="24"/>
        </w:rPr>
        <w:t xml:space="preserve"> Penelitian ini menyimpulkan bahwa p</w:t>
      </w:r>
      <w:r w:rsidR="00AF71DD" w:rsidRPr="00DD79E1">
        <w:rPr>
          <w:rFonts w:ascii="Garamond" w:hAnsi="Garamond" w:cs="Times New Roman"/>
          <w:bCs/>
          <w:iCs/>
          <w:sz w:val="24"/>
          <w:szCs w:val="24"/>
        </w:rPr>
        <w:t xml:space="preserve">roblematika perwakafan di Provinsi Lampung dan Provinsi Sumatera Selatan meliputi </w:t>
      </w:r>
      <w:r w:rsidR="00AF71DD" w:rsidRPr="00DD79E1">
        <w:rPr>
          <w:rFonts w:ascii="Garamond" w:eastAsia="Times New Roman" w:hAnsi="Garamond" w:cs="Times New Roman"/>
          <w:iCs/>
          <w:w w:val="95"/>
          <w:sz w:val="24"/>
          <w:szCs w:val="24"/>
        </w:rPr>
        <w:t xml:space="preserve">manajemen pengelolaan wakaf belum sehat, minimnya sosialisasi dan literasi wakaf, </w:t>
      </w:r>
      <w:r w:rsidR="00AF71DD" w:rsidRPr="00DD79E1">
        <w:rPr>
          <w:rFonts w:ascii="Garamond" w:hAnsi="Garamond" w:cs="Times New Roman"/>
          <w:iCs/>
          <w:sz w:val="24"/>
          <w:szCs w:val="24"/>
        </w:rPr>
        <w:t xml:space="preserve">kurangnya kompetensi sumber daya nazhir dan dukungan dari </w:t>
      </w:r>
      <w:r w:rsidR="00AF71DD" w:rsidRPr="00DD79E1">
        <w:rPr>
          <w:rFonts w:ascii="Garamond" w:eastAsia="Times New Roman" w:hAnsi="Garamond" w:cs="Times New Roman"/>
          <w:iCs/>
          <w:sz w:val="24"/>
          <w:szCs w:val="24"/>
        </w:rPr>
        <w:t>p</w:t>
      </w:r>
      <w:r w:rsidR="00AF71DD" w:rsidRPr="00DD79E1">
        <w:rPr>
          <w:rFonts w:ascii="Garamond" w:hAnsi="Garamond" w:cs="Times New Roman"/>
          <w:iCs/>
          <w:sz w:val="24"/>
          <w:szCs w:val="24"/>
        </w:rPr>
        <w:t xml:space="preserve">emerintah dan masyarakat terhadap wakaf masih rendah. </w:t>
      </w:r>
      <w:proofErr w:type="gramStart"/>
      <w:r w:rsidR="00AF71DD" w:rsidRPr="00DD79E1">
        <w:rPr>
          <w:rFonts w:ascii="Garamond" w:hAnsi="Garamond" w:cs="Times New Roman"/>
          <w:iCs/>
          <w:sz w:val="24"/>
          <w:szCs w:val="24"/>
        </w:rPr>
        <w:t>Akibat dari problem-problem tersebut pengelolaan wakaf di dua provinsi tersebut belum maksimal dan belum mampu meningkatkan ekonomi umat.</w:t>
      </w:r>
      <w:proofErr w:type="gramEnd"/>
      <w:r w:rsidR="00AF71DD" w:rsidRPr="00DD79E1">
        <w:rPr>
          <w:rFonts w:ascii="Garamond" w:hAnsi="Garamond" w:cs="Times New Roman"/>
          <w:iCs/>
          <w:sz w:val="24"/>
          <w:szCs w:val="24"/>
        </w:rPr>
        <w:t xml:space="preserve"> </w:t>
      </w:r>
      <w:r w:rsidR="00A91BCC" w:rsidRPr="00DD79E1">
        <w:rPr>
          <w:rFonts w:ascii="Garamond" w:hAnsi="Garamond" w:cs="Times New Roman"/>
          <w:iCs/>
          <w:sz w:val="24"/>
          <w:szCs w:val="24"/>
        </w:rPr>
        <w:t xml:space="preserve">Sehingga </w:t>
      </w:r>
      <w:r w:rsidR="00AF71DD" w:rsidRPr="00DD79E1">
        <w:rPr>
          <w:rFonts w:ascii="Garamond" w:hAnsi="Garamond" w:cs="Times New Roman"/>
          <w:iCs/>
          <w:sz w:val="24"/>
          <w:szCs w:val="24"/>
        </w:rPr>
        <w:t xml:space="preserve">perlu dibangun tata kelola perwakafan yang modern dengan </w:t>
      </w:r>
      <w:r w:rsidR="00AF71DD" w:rsidRPr="00DD79E1">
        <w:rPr>
          <w:rFonts w:ascii="Garamond" w:hAnsi="Garamond" w:cs="Times New Roman"/>
          <w:bCs/>
          <w:iCs/>
          <w:sz w:val="24"/>
          <w:szCs w:val="24"/>
        </w:rPr>
        <w:t>penguatan hukum wakaf</w:t>
      </w:r>
      <w:r w:rsidR="00A91BCC" w:rsidRPr="00DD79E1">
        <w:rPr>
          <w:rFonts w:ascii="Garamond" w:hAnsi="Garamond" w:cs="Times New Roman"/>
          <w:bCs/>
          <w:iCs/>
          <w:sz w:val="24"/>
          <w:szCs w:val="24"/>
        </w:rPr>
        <w:t xml:space="preserve"> dengan</w:t>
      </w:r>
      <w:r w:rsidR="00AF71DD" w:rsidRPr="00DD79E1">
        <w:rPr>
          <w:rFonts w:ascii="Garamond" w:hAnsi="Garamond" w:cs="Times New Roman"/>
          <w:bCs/>
          <w:iCs/>
          <w:sz w:val="24"/>
          <w:szCs w:val="24"/>
        </w:rPr>
        <w:t xml:space="preserve"> pembaruan</w:t>
      </w:r>
      <w:r w:rsidR="003F163B" w:rsidRPr="00DD79E1">
        <w:rPr>
          <w:rFonts w:ascii="Garamond" w:hAnsi="Garamond" w:cs="Times New Roman"/>
          <w:bCs/>
          <w:iCs/>
          <w:sz w:val="24"/>
          <w:szCs w:val="24"/>
        </w:rPr>
        <w:t xml:space="preserve"> hukum wakaf yakni U</w:t>
      </w:r>
      <w:r w:rsidR="00AF71DD" w:rsidRPr="00DD79E1">
        <w:rPr>
          <w:rFonts w:ascii="Garamond" w:hAnsi="Garamond" w:cs="Times New Roman"/>
          <w:iCs/>
          <w:sz w:val="24"/>
          <w:szCs w:val="24"/>
        </w:rPr>
        <w:t>ndang-</w:t>
      </w:r>
      <w:r w:rsidR="003F163B" w:rsidRPr="00DD79E1">
        <w:rPr>
          <w:rFonts w:ascii="Garamond" w:hAnsi="Garamond" w:cs="Times New Roman"/>
          <w:iCs/>
          <w:sz w:val="24"/>
          <w:szCs w:val="24"/>
        </w:rPr>
        <w:t xml:space="preserve">undang </w:t>
      </w:r>
      <w:r w:rsidR="00AF71DD" w:rsidRPr="00DD79E1">
        <w:rPr>
          <w:rFonts w:ascii="Garamond" w:hAnsi="Garamond" w:cs="Times New Roman"/>
          <w:iCs/>
          <w:sz w:val="24"/>
          <w:szCs w:val="24"/>
        </w:rPr>
        <w:t>No</w:t>
      </w:r>
      <w:r w:rsidR="003F163B" w:rsidRPr="00DD79E1">
        <w:rPr>
          <w:rFonts w:ascii="Garamond" w:hAnsi="Garamond" w:cs="Times New Roman"/>
          <w:iCs/>
          <w:sz w:val="24"/>
          <w:szCs w:val="24"/>
        </w:rPr>
        <w:t>.</w:t>
      </w:r>
      <w:r w:rsidR="00AF71DD" w:rsidRPr="00DD79E1">
        <w:rPr>
          <w:rFonts w:ascii="Garamond" w:hAnsi="Garamond" w:cs="Times New Roman"/>
          <w:iCs/>
          <w:sz w:val="24"/>
          <w:szCs w:val="24"/>
        </w:rPr>
        <w:t>41 Tahun 2004 tentang Wakaf agar lebih responsif terhadap</w:t>
      </w:r>
      <w:r w:rsidR="003F163B" w:rsidRPr="00DD79E1">
        <w:rPr>
          <w:rFonts w:ascii="Garamond" w:hAnsi="Garamond" w:cs="Times New Roman"/>
          <w:iCs/>
          <w:sz w:val="24"/>
          <w:szCs w:val="24"/>
        </w:rPr>
        <w:t xml:space="preserve"> perubahan dan</w:t>
      </w:r>
      <w:r w:rsidR="00AF71DD" w:rsidRPr="00DD79E1">
        <w:rPr>
          <w:rFonts w:ascii="Garamond" w:hAnsi="Garamond" w:cs="Times New Roman"/>
          <w:iCs/>
          <w:sz w:val="24"/>
          <w:szCs w:val="24"/>
        </w:rPr>
        <w:t xml:space="preserve"> perkembangan zaman. </w:t>
      </w:r>
      <w:proofErr w:type="gramStart"/>
      <w:r w:rsidR="00AF71DD" w:rsidRPr="00DD79E1">
        <w:rPr>
          <w:rFonts w:ascii="Garamond" w:hAnsi="Garamond" w:cs="Times New Roman"/>
          <w:iCs/>
          <w:sz w:val="24"/>
          <w:szCs w:val="24"/>
        </w:rPr>
        <w:t>Kemudian, peningkatan profesionalisme nazhir.</w:t>
      </w:r>
      <w:proofErr w:type="gramEnd"/>
      <w:r w:rsidR="00AF71DD" w:rsidRPr="00DD79E1">
        <w:rPr>
          <w:rFonts w:ascii="Garamond" w:hAnsi="Garamond" w:cs="Times New Roman"/>
          <w:iCs/>
          <w:sz w:val="24"/>
          <w:szCs w:val="24"/>
        </w:rPr>
        <w:t xml:space="preserve"> </w:t>
      </w:r>
      <w:proofErr w:type="gramStart"/>
      <w:r w:rsidR="00AF71DD" w:rsidRPr="00DD79E1">
        <w:rPr>
          <w:rFonts w:ascii="Garamond" w:hAnsi="Garamond" w:cs="Times New Roman"/>
          <w:iCs/>
          <w:sz w:val="24"/>
          <w:szCs w:val="24"/>
        </w:rPr>
        <w:t xml:space="preserve">Dengan nazhir </w:t>
      </w:r>
      <w:r w:rsidR="003F163B" w:rsidRPr="00DD79E1">
        <w:rPr>
          <w:rFonts w:ascii="Garamond" w:hAnsi="Garamond" w:cs="Times New Roman"/>
          <w:iCs/>
          <w:sz w:val="24"/>
          <w:szCs w:val="24"/>
        </w:rPr>
        <w:t xml:space="preserve">yang </w:t>
      </w:r>
      <w:r w:rsidR="00AF71DD" w:rsidRPr="00DD79E1">
        <w:rPr>
          <w:rFonts w:ascii="Garamond" w:hAnsi="Garamond" w:cs="Times New Roman"/>
          <w:iCs/>
          <w:sz w:val="24"/>
          <w:szCs w:val="24"/>
        </w:rPr>
        <w:t xml:space="preserve">profesional bisa mengembangkan wakaf </w:t>
      </w:r>
      <w:r w:rsidR="003F163B" w:rsidRPr="00DD79E1">
        <w:rPr>
          <w:rFonts w:ascii="Garamond" w:hAnsi="Garamond" w:cs="Times New Roman"/>
          <w:iCs/>
          <w:sz w:val="24"/>
          <w:szCs w:val="24"/>
        </w:rPr>
        <w:t xml:space="preserve">menjadi produktif, </w:t>
      </w:r>
      <w:r w:rsidR="00AF71DD" w:rsidRPr="00DD79E1">
        <w:rPr>
          <w:rFonts w:ascii="Garamond" w:hAnsi="Garamond" w:cs="Times New Roman"/>
          <w:iCs/>
          <w:sz w:val="24"/>
          <w:szCs w:val="24"/>
        </w:rPr>
        <w:t xml:space="preserve">sekaligus mengalihkan usaha tradisional kepada usaha-usaha yang lebih menguntungkan, seperti rumah </w:t>
      </w:r>
      <w:r w:rsidR="00AF71DD" w:rsidRPr="00DD79E1">
        <w:rPr>
          <w:rFonts w:ascii="Garamond" w:hAnsi="Garamond" w:cs="Times New Roman"/>
          <w:iCs/>
          <w:sz w:val="24"/>
          <w:szCs w:val="24"/>
        </w:rPr>
        <w:lastRenderedPageBreak/>
        <w:t>sakit, hotel, wisata halal, dan lainnya.</w:t>
      </w:r>
      <w:proofErr w:type="gramEnd"/>
      <w:r w:rsidR="00AF71DD" w:rsidRPr="00DD79E1">
        <w:rPr>
          <w:rFonts w:ascii="Garamond" w:hAnsi="Garamond" w:cs="Times New Roman"/>
          <w:iCs/>
          <w:sz w:val="24"/>
          <w:szCs w:val="24"/>
        </w:rPr>
        <w:t xml:space="preserve"> </w:t>
      </w:r>
      <w:proofErr w:type="gramStart"/>
      <w:r w:rsidR="00AF71DD" w:rsidRPr="00DD79E1">
        <w:rPr>
          <w:rFonts w:ascii="Garamond" w:hAnsi="Garamond" w:cs="Times New Roman"/>
          <w:iCs/>
          <w:sz w:val="24"/>
          <w:szCs w:val="24"/>
        </w:rPr>
        <w:t>Selanjutnya transparansi dan akuntabilitas demi terwujudnya wakaf modern yang dipercaya publik.</w:t>
      </w:r>
      <w:proofErr w:type="gramEnd"/>
    </w:p>
    <w:p w:rsidR="00AF71DD" w:rsidRPr="00DD79E1" w:rsidRDefault="00AF71DD" w:rsidP="00AF71DD">
      <w:pPr>
        <w:tabs>
          <w:tab w:val="left" w:pos="993"/>
        </w:tabs>
        <w:spacing w:after="0" w:line="240" w:lineRule="auto"/>
        <w:ind w:left="426" w:right="3"/>
        <w:jc w:val="both"/>
        <w:rPr>
          <w:rFonts w:ascii="Garamond" w:hAnsi="Garamond" w:cs="Times New Roman"/>
          <w:iCs/>
          <w:w w:val="110"/>
          <w:sz w:val="24"/>
          <w:szCs w:val="24"/>
        </w:rPr>
      </w:pPr>
      <w:r w:rsidRPr="00DD79E1">
        <w:rPr>
          <w:rFonts w:ascii="Garamond" w:hAnsi="Garamond" w:cs="Times New Roman"/>
          <w:b/>
          <w:iCs/>
          <w:sz w:val="24"/>
          <w:szCs w:val="24"/>
        </w:rPr>
        <w:t xml:space="preserve">Kata </w:t>
      </w:r>
      <w:proofErr w:type="gramStart"/>
      <w:r w:rsidRPr="00DD79E1">
        <w:rPr>
          <w:rFonts w:ascii="Garamond" w:hAnsi="Garamond" w:cs="Times New Roman"/>
          <w:b/>
          <w:iCs/>
          <w:sz w:val="24"/>
          <w:szCs w:val="24"/>
        </w:rPr>
        <w:t>Kunci :</w:t>
      </w:r>
      <w:proofErr w:type="gramEnd"/>
      <w:r w:rsidRPr="00DD79E1">
        <w:rPr>
          <w:rFonts w:ascii="Garamond" w:hAnsi="Garamond" w:cs="Times New Roman"/>
          <w:iCs/>
          <w:sz w:val="24"/>
          <w:szCs w:val="24"/>
        </w:rPr>
        <w:t xml:space="preserve"> Pembaruan, Hukum, Modern, Wakaf</w:t>
      </w:r>
    </w:p>
    <w:p w:rsidR="00215399" w:rsidRPr="00DD79E1" w:rsidRDefault="009847D7" w:rsidP="00AF71DD">
      <w:pPr>
        <w:spacing w:before="120" w:after="0" w:line="240" w:lineRule="auto"/>
        <w:rPr>
          <w:rFonts w:ascii="Garamond" w:eastAsia="Garamond" w:hAnsi="Garamond" w:cs="Garamond"/>
          <w:b/>
          <w:sz w:val="24"/>
          <w:szCs w:val="24"/>
        </w:rPr>
      </w:pPr>
      <w:r w:rsidRPr="00DD79E1">
        <w:rPr>
          <w:rFonts w:ascii="Garamond" w:eastAsia="Garamond" w:hAnsi="Garamond" w:cs="Garamond"/>
          <w:b/>
          <w:sz w:val="24"/>
          <w:szCs w:val="24"/>
        </w:rPr>
        <w:t xml:space="preserve">Introduction </w:t>
      </w:r>
    </w:p>
    <w:p w:rsidR="00D81A50" w:rsidRPr="00DD79E1" w:rsidRDefault="003F163B" w:rsidP="006059D8">
      <w:pPr>
        <w:tabs>
          <w:tab w:val="left" w:pos="993"/>
        </w:tabs>
        <w:spacing w:after="0" w:line="240" w:lineRule="auto"/>
        <w:ind w:right="3" w:firstLine="567"/>
        <w:jc w:val="both"/>
        <w:rPr>
          <w:rFonts w:ascii="Garamond" w:hAnsi="Garamond" w:cs="Times New Roman"/>
          <w:sz w:val="24"/>
          <w:szCs w:val="24"/>
        </w:rPr>
      </w:pPr>
      <w:r w:rsidRPr="00DD79E1">
        <w:rPr>
          <w:rFonts w:ascii="Garamond" w:hAnsi="Garamond" w:cs="Times New Roman"/>
          <w:w w:val="110"/>
          <w:sz w:val="24"/>
          <w:szCs w:val="24"/>
        </w:rPr>
        <w:t xml:space="preserve">Pengelolaan </w:t>
      </w:r>
      <w:r w:rsidR="00AF71DD" w:rsidRPr="00DD79E1">
        <w:rPr>
          <w:rFonts w:ascii="Garamond" w:hAnsi="Garamond" w:cs="Times New Roman"/>
          <w:sz w:val="24"/>
          <w:szCs w:val="24"/>
        </w:rPr>
        <w:t>wakaf di Indonesia</w:t>
      </w:r>
      <w:r w:rsidRPr="00DD79E1">
        <w:rPr>
          <w:rFonts w:ascii="Garamond" w:hAnsi="Garamond" w:cs="Times New Roman"/>
          <w:sz w:val="24"/>
          <w:szCs w:val="24"/>
        </w:rPr>
        <w:t xml:space="preserve"> berlum berjalan secara tertib </w:t>
      </w:r>
      <w:proofErr w:type="gramStart"/>
      <w:r w:rsidRPr="00DD79E1">
        <w:rPr>
          <w:rFonts w:ascii="Garamond" w:hAnsi="Garamond" w:cs="Times New Roman"/>
          <w:sz w:val="24"/>
          <w:szCs w:val="24"/>
        </w:rPr>
        <w:t>dan  efektif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Hal itu dapat dilihat dari masih adanya sengketa wakaf di masyarakat, asset </w:t>
      </w:r>
      <w:r w:rsidR="00AF71DD" w:rsidRPr="00DD79E1">
        <w:rPr>
          <w:rFonts w:ascii="Garamond" w:hAnsi="Garamond" w:cs="Times New Roman"/>
          <w:sz w:val="24"/>
          <w:szCs w:val="24"/>
        </w:rPr>
        <w:t>benda wakaf tidak terpelihara sebagaimana mestinya, terlebih dikembangkan kearah produktif.</w:t>
      </w:r>
      <w:proofErr w:type="gramEnd"/>
      <w:r w:rsidR="00AF71DD" w:rsidRPr="00DD79E1">
        <w:rPr>
          <w:rFonts w:ascii="Garamond" w:hAnsi="Garamond" w:cs="Times New Roman"/>
          <w:sz w:val="24"/>
          <w:szCs w:val="24"/>
        </w:rPr>
        <w:t xml:space="preserve"> Problem</w:t>
      </w:r>
      <w:r w:rsidRPr="00DD79E1">
        <w:rPr>
          <w:rFonts w:ascii="Garamond" w:hAnsi="Garamond" w:cs="Times New Roman"/>
          <w:sz w:val="24"/>
          <w:szCs w:val="24"/>
        </w:rPr>
        <w:t xml:space="preserve"> perwakafan di tanah air</w:t>
      </w:r>
      <w:r w:rsidR="00FC25E2" w:rsidRPr="00DD79E1">
        <w:rPr>
          <w:rFonts w:ascii="Garamond" w:hAnsi="Garamond" w:cs="Times New Roman"/>
          <w:sz w:val="24"/>
          <w:szCs w:val="24"/>
        </w:rPr>
        <w:t xml:space="preserve"> di antaranya adalah terjadi peralihan asset wakaf kepada </w:t>
      </w:r>
      <w:r w:rsidR="00AF71DD" w:rsidRPr="00DD79E1">
        <w:rPr>
          <w:rFonts w:ascii="Garamond" w:hAnsi="Garamond" w:cs="Times New Roman"/>
          <w:sz w:val="24"/>
          <w:szCs w:val="24"/>
        </w:rPr>
        <w:t xml:space="preserve">pihak ketiga dengan </w:t>
      </w:r>
      <w:proofErr w:type="gramStart"/>
      <w:r w:rsidR="00AF71DD" w:rsidRPr="00DD79E1">
        <w:rPr>
          <w:rFonts w:ascii="Garamond" w:hAnsi="Garamond" w:cs="Times New Roman"/>
          <w:sz w:val="24"/>
          <w:szCs w:val="24"/>
        </w:rPr>
        <w:t>cara</w:t>
      </w:r>
      <w:proofErr w:type="gramEnd"/>
      <w:r w:rsidR="00AF71DD" w:rsidRPr="00DD79E1">
        <w:rPr>
          <w:rFonts w:ascii="Garamond" w:hAnsi="Garamond" w:cs="Times New Roman"/>
          <w:sz w:val="24"/>
          <w:szCs w:val="24"/>
        </w:rPr>
        <w:t xml:space="preserve"> melanggar hukum hingga pengelolaan</w:t>
      </w:r>
      <w:r w:rsidR="00FC25E2" w:rsidRPr="00DD79E1">
        <w:rPr>
          <w:rFonts w:ascii="Garamond" w:hAnsi="Garamond" w:cs="Times New Roman"/>
          <w:sz w:val="24"/>
          <w:szCs w:val="24"/>
        </w:rPr>
        <w:t xml:space="preserve"> harta</w:t>
      </w:r>
      <w:r w:rsidR="00AF71DD" w:rsidRPr="00DD79E1">
        <w:rPr>
          <w:rFonts w:ascii="Garamond" w:hAnsi="Garamond" w:cs="Times New Roman"/>
          <w:sz w:val="24"/>
          <w:szCs w:val="24"/>
        </w:rPr>
        <w:t xml:space="preserve"> wakaf yang kurang profesional sehingga wakaf belum mampu mewujudkan kesejahteraan umat.</w:t>
      </w:r>
      <w:r w:rsidR="00AF71DD" w:rsidRPr="00DD79E1">
        <w:rPr>
          <w:rStyle w:val="FootnoteReference"/>
          <w:rFonts w:ascii="Garamond" w:hAnsi="Garamond" w:cs="Times New Roman"/>
          <w:sz w:val="24"/>
          <w:szCs w:val="24"/>
        </w:rPr>
        <w:footnoteReference w:id="1"/>
      </w:r>
      <w:r w:rsidR="00AF71DD" w:rsidRPr="00DD79E1">
        <w:rPr>
          <w:rFonts w:ascii="Garamond" w:hAnsi="Garamond" w:cs="Times New Roman"/>
          <w:sz w:val="24"/>
          <w:szCs w:val="24"/>
        </w:rPr>
        <w:t xml:space="preserve"> </w:t>
      </w:r>
      <w:proofErr w:type="gramStart"/>
      <w:r w:rsidR="00AF71DD" w:rsidRPr="00DD79E1">
        <w:rPr>
          <w:rFonts w:ascii="Garamond" w:hAnsi="Garamond" w:cs="Times New Roman"/>
          <w:sz w:val="24"/>
          <w:szCs w:val="24"/>
        </w:rPr>
        <w:t>Ditambah karena pembinaan dan pengawasan belum optimal sehingga wakaf belum berhasil mendongkrak ekonomi umat.</w:t>
      </w:r>
      <w:proofErr w:type="gramEnd"/>
      <w:r w:rsidR="00AF71DD" w:rsidRPr="00DD79E1">
        <w:rPr>
          <w:rStyle w:val="FootnoteReference"/>
          <w:rFonts w:ascii="Garamond" w:hAnsi="Garamond" w:cs="Times New Roman"/>
          <w:sz w:val="24"/>
          <w:szCs w:val="24"/>
        </w:rPr>
        <w:footnoteReference w:id="2"/>
      </w:r>
      <w:r w:rsidR="00AF71DD" w:rsidRPr="00DD79E1">
        <w:rPr>
          <w:rFonts w:ascii="Garamond" w:hAnsi="Garamond" w:cs="Times New Roman"/>
          <w:sz w:val="24"/>
          <w:szCs w:val="24"/>
        </w:rPr>
        <w:t xml:space="preserve"> Padahal, </w:t>
      </w:r>
      <w:r w:rsidR="00A03B5D" w:rsidRPr="00DD79E1">
        <w:rPr>
          <w:rFonts w:ascii="Garamond" w:hAnsi="Garamond" w:cs="Times New Roman"/>
          <w:sz w:val="24"/>
          <w:szCs w:val="24"/>
        </w:rPr>
        <w:t>wakaf mengalami perkembagan yang signifikan di Indonesia, bahkan jumlahnya selalu tumbuh tiap tahun</w:t>
      </w:r>
      <w:r w:rsidR="00AF71DD" w:rsidRPr="00DD79E1">
        <w:rPr>
          <w:rFonts w:ascii="Garamond" w:hAnsi="Garamond" w:cs="Times New Roman"/>
          <w:sz w:val="24"/>
          <w:szCs w:val="24"/>
        </w:rPr>
        <w:t>.</w:t>
      </w:r>
      <w:r w:rsidR="006059D8" w:rsidRPr="00DD79E1">
        <w:rPr>
          <w:rFonts w:ascii="Garamond" w:hAnsi="Garamond" w:cs="Times New Roman"/>
          <w:sz w:val="24"/>
          <w:szCs w:val="24"/>
        </w:rPr>
        <w:t xml:space="preserve"> Dalam data di </w:t>
      </w:r>
      <w:r w:rsidR="00AF71DD" w:rsidRPr="00DD79E1">
        <w:rPr>
          <w:rFonts w:ascii="Garamond" w:hAnsi="Garamond" w:cs="Times New Roman"/>
          <w:sz w:val="24"/>
          <w:szCs w:val="24"/>
        </w:rPr>
        <w:t xml:space="preserve">Sistem Informasi Wakaf Kemenag </w:t>
      </w:r>
      <w:r w:rsidR="006059D8" w:rsidRPr="00DD79E1">
        <w:rPr>
          <w:rFonts w:ascii="Garamond" w:hAnsi="Garamond" w:cs="Times New Roman"/>
          <w:sz w:val="24"/>
          <w:szCs w:val="24"/>
        </w:rPr>
        <w:t xml:space="preserve">tahun </w:t>
      </w:r>
      <w:r w:rsidR="00AF71DD" w:rsidRPr="00DD79E1">
        <w:rPr>
          <w:rFonts w:ascii="Garamond" w:hAnsi="Garamond" w:cs="Times New Roman"/>
          <w:sz w:val="24"/>
          <w:szCs w:val="24"/>
        </w:rPr>
        <w:t xml:space="preserve">2022, tanah wakaf </w:t>
      </w:r>
      <w:r w:rsidR="006059D8" w:rsidRPr="00DD79E1">
        <w:rPr>
          <w:rFonts w:ascii="Garamond" w:hAnsi="Garamond" w:cs="Times New Roman"/>
          <w:sz w:val="24"/>
          <w:szCs w:val="24"/>
        </w:rPr>
        <w:t xml:space="preserve">sudah mencapai </w:t>
      </w:r>
      <w:r w:rsidR="00D81A50" w:rsidRPr="00DD79E1">
        <w:rPr>
          <w:rFonts w:ascii="Garamond" w:hAnsi="Garamond" w:cs="Times New Roman"/>
          <w:sz w:val="24"/>
          <w:szCs w:val="24"/>
        </w:rPr>
        <w:t>440</w:t>
      </w:r>
      <w:proofErr w:type="gramStart"/>
      <w:r w:rsidR="00D81A50" w:rsidRPr="00DD79E1">
        <w:rPr>
          <w:rFonts w:ascii="Garamond" w:hAnsi="Garamond" w:cs="Times New Roman"/>
          <w:sz w:val="24"/>
          <w:szCs w:val="24"/>
        </w:rPr>
        <w:t>,5</w:t>
      </w:r>
      <w:proofErr w:type="gramEnd"/>
      <w:r w:rsidR="00D81A50" w:rsidRPr="00DD79E1">
        <w:rPr>
          <w:rFonts w:ascii="Garamond" w:hAnsi="Garamond" w:cs="Times New Roman"/>
          <w:sz w:val="24"/>
          <w:szCs w:val="24"/>
        </w:rPr>
        <w:t xml:space="preserve"> ribu titik. </w:t>
      </w:r>
      <w:r w:rsidR="006059D8" w:rsidRPr="00DD79E1">
        <w:rPr>
          <w:rFonts w:ascii="Garamond" w:hAnsi="Garamond" w:cs="Times New Roman"/>
          <w:sz w:val="24"/>
          <w:szCs w:val="24"/>
        </w:rPr>
        <w:t xml:space="preserve">Tidak hanya itu, </w:t>
      </w:r>
      <w:r w:rsidR="00AF71DD" w:rsidRPr="00DD79E1">
        <w:rPr>
          <w:rFonts w:ascii="Garamond" w:hAnsi="Garamond" w:cs="Times New Roman"/>
          <w:sz w:val="24"/>
          <w:szCs w:val="24"/>
        </w:rPr>
        <w:t xml:space="preserve">potensi </w:t>
      </w:r>
      <w:r w:rsidR="006059D8" w:rsidRPr="00DD79E1">
        <w:rPr>
          <w:rFonts w:ascii="Garamond" w:hAnsi="Garamond" w:cs="Times New Roman"/>
          <w:sz w:val="24"/>
          <w:szCs w:val="24"/>
        </w:rPr>
        <w:t xml:space="preserve">wakaf </w:t>
      </w:r>
      <w:r w:rsidR="00AF71DD" w:rsidRPr="00DD79E1">
        <w:rPr>
          <w:rFonts w:ascii="Garamond" w:hAnsi="Garamond" w:cs="Times New Roman"/>
          <w:sz w:val="24"/>
          <w:szCs w:val="24"/>
        </w:rPr>
        <w:t>uang</w:t>
      </w:r>
      <w:r w:rsidR="006059D8" w:rsidRPr="00DD79E1">
        <w:rPr>
          <w:rFonts w:ascii="Garamond" w:hAnsi="Garamond" w:cs="Times New Roman"/>
          <w:sz w:val="24"/>
          <w:szCs w:val="24"/>
        </w:rPr>
        <w:t xml:space="preserve"> di Indonesia juga sangat besar, bahkan BWI </w:t>
      </w:r>
      <w:r w:rsidR="00AF71DD" w:rsidRPr="00DD79E1">
        <w:rPr>
          <w:rFonts w:ascii="Garamond" w:hAnsi="Garamond" w:cs="Times New Roman"/>
          <w:sz w:val="24"/>
          <w:szCs w:val="24"/>
        </w:rPr>
        <w:t>mencatat perolehan wakaf uang mencapai Rp.1</w:t>
      </w:r>
      <w:proofErr w:type="gramStart"/>
      <w:r w:rsidR="00AF71DD" w:rsidRPr="00DD79E1">
        <w:rPr>
          <w:rFonts w:ascii="Garamond" w:hAnsi="Garamond" w:cs="Times New Roman"/>
          <w:sz w:val="24"/>
          <w:szCs w:val="24"/>
        </w:rPr>
        <w:t>,4</w:t>
      </w:r>
      <w:proofErr w:type="gramEnd"/>
      <w:r w:rsidR="00AF71DD" w:rsidRPr="00DD79E1">
        <w:rPr>
          <w:rFonts w:ascii="Garamond" w:hAnsi="Garamond" w:cs="Times New Roman"/>
          <w:sz w:val="24"/>
          <w:szCs w:val="24"/>
        </w:rPr>
        <w:t xml:space="preserve"> triliun. </w:t>
      </w:r>
      <w:proofErr w:type="gramStart"/>
      <w:r w:rsidR="00AF71DD" w:rsidRPr="00DD79E1">
        <w:rPr>
          <w:rFonts w:ascii="Garamond" w:hAnsi="Garamond" w:cs="Times New Roman"/>
          <w:sz w:val="24"/>
          <w:szCs w:val="24"/>
        </w:rPr>
        <w:t xml:space="preserve">Angka ini </w:t>
      </w:r>
      <w:r w:rsidR="006059D8" w:rsidRPr="00DD79E1">
        <w:rPr>
          <w:rFonts w:ascii="Garamond" w:hAnsi="Garamond" w:cs="Times New Roman"/>
          <w:sz w:val="24"/>
          <w:szCs w:val="24"/>
        </w:rPr>
        <w:t xml:space="preserve">naik disbanding dengan </w:t>
      </w:r>
      <w:r w:rsidR="00AF71DD" w:rsidRPr="00DD79E1">
        <w:rPr>
          <w:rFonts w:ascii="Garamond" w:hAnsi="Garamond" w:cs="Times New Roman"/>
          <w:sz w:val="24"/>
          <w:szCs w:val="24"/>
        </w:rPr>
        <w:t>perolehan wakaf uang sepanjang 2018</w:t>
      </w:r>
      <w:r w:rsidR="006059D8" w:rsidRPr="00DD79E1">
        <w:rPr>
          <w:rFonts w:ascii="Garamond" w:hAnsi="Garamond" w:cs="Times New Roman"/>
          <w:sz w:val="24"/>
          <w:szCs w:val="24"/>
        </w:rPr>
        <w:t>-</w:t>
      </w:r>
      <w:r w:rsidR="00AF71DD" w:rsidRPr="00DD79E1">
        <w:rPr>
          <w:rFonts w:ascii="Garamond" w:hAnsi="Garamond" w:cs="Times New Roman"/>
          <w:sz w:val="24"/>
          <w:szCs w:val="24"/>
        </w:rPr>
        <w:t>2021</w:t>
      </w:r>
      <w:r w:rsidR="006059D8" w:rsidRPr="00DD79E1">
        <w:rPr>
          <w:rFonts w:ascii="Garamond" w:hAnsi="Garamond" w:cs="Times New Roman"/>
          <w:sz w:val="24"/>
          <w:szCs w:val="24"/>
        </w:rPr>
        <w:t xml:space="preserve"> yakni sebesari </w:t>
      </w:r>
      <w:r w:rsidR="00AF71DD" w:rsidRPr="00DD79E1">
        <w:rPr>
          <w:rFonts w:ascii="Garamond" w:hAnsi="Garamond" w:cs="Times New Roman"/>
          <w:sz w:val="24"/>
          <w:szCs w:val="24"/>
        </w:rPr>
        <w:t>Rp.855 miliar.</w:t>
      </w:r>
      <w:proofErr w:type="gramEnd"/>
      <w:r w:rsidR="00AF71DD" w:rsidRPr="00DD79E1">
        <w:rPr>
          <w:rStyle w:val="FootnoteReference"/>
          <w:rFonts w:ascii="Garamond" w:hAnsi="Garamond" w:cs="Times New Roman"/>
          <w:sz w:val="24"/>
          <w:szCs w:val="24"/>
        </w:rPr>
        <w:footnoteReference w:id="3"/>
      </w:r>
      <w:r w:rsidR="00AF71DD" w:rsidRPr="00DD79E1">
        <w:rPr>
          <w:rFonts w:ascii="Garamond" w:hAnsi="Garamond" w:cs="Times New Roman"/>
          <w:sz w:val="24"/>
          <w:szCs w:val="24"/>
        </w:rPr>
        <w:t xml:space="preserve"> </w:t>
      </w:r>
    </w:p>
    <w:p w:rsidR="005F5D41" w:rsidRPr="00DD79E1" w:rsidRDefault="00AF71DD" w:rsidP="005F5D41">
      <w:pPr>
        <w:tabs>
          <w:tab w:val="left" w:pos="567"/>
        </w:tabs>
        <w:spacing w:after="0" w:line="240" w:lineRule="auto"/>
        <w:ind w:right="3" w:firstLine="567"/>
        <w:jc w:val="both"/>
        <w:rPr>
          <w:rFonts w:ascii="Garamond" w:hAnsi="Garamond" w:cstheme="majorBidi"/>
          <w:bCs/>
          <w:sz w:val="24"/>
          <w:szCs w:val="24"/>
        </w:rPr>
      </w:pPr>
      <w:proofErr w:type="gramStart"/>
      <w:r w:rsidRPr="00DD79E1">
        <w:rPr>
          <w:rFonts w:ascii="Garamond" w:hAnsi="Garamond" w:cs="Times New Roman"/>
          <w:sz w:val="24"/>
          <w:szCs w:val="24"/>
        </w:rPr>
        <w:t>Besarnya</w:t>
      </w:r>
      <w:r w:rsidR="002E43A8" w:rsidRPr="00DD79E1">
        <w:rPr>
          <w:rFonts w:ascii="Garamond" w:hAnsi="Garamond" w:cs="Times New Roman"/>
          <w:sz w:val="24"/>
          <w:szCs w:val="24"/>
        </w:rPr>
        <w:t xml:space="preserve"> perolehan</w:t>
      </w:r>
      <w:r w:rsidRPr="00DD79E1">
        <w:rPr>
          <w:rFonts w:ascii="Garamond" w:hAnsi="Garamond" w:cs="Times New Roman"/>
          <w:sz w:val="24"/>
          <w:szCs w:val="24"/>
        </w:rPr>
        <w:t xml:space="preserve"> wakaf tersebut seharusnya bisa lebih ditingkatkan lagi jika tata kelola perwakafan semakin modern, akuntabel dan menjalankan prinsip-prinsip </w:t>
      </w:r>
      <w:r w:rsidR="002E43A8" w:rsidRPr="00DD79E1">
        <w:rPr>
          <w:rFonts w:ascii="Garamond" w:hAnsi="Garamond" w:cs="Times New Roman"/>
          <w:sz w:val="24"/>
          <w:szCs w:val="24"/>
        </w:rPr>
        <w:t>go</w:t>
      </w:r>
      <w:r w:rsidRPr="00DD79E1">
        <w:rPr>
          <w:rFonts w:ascii="Garamond" w:hAnsi="Garamond" w:cs="Times New Roman"/>
          <w:i/>
          <w:iCs/>
          <w:sz w:val="24"/>
          <w:szCs w:val="24"/>
        </w:rPr>
        <w:t xml:space="preserve">od </w:t>
      </w:r>
      <w:r w:rsidR="002E43A8" w:rsidRPr="00DD79E1">
        <w:rPr>
          <w:rFonts w:ascii="Garamond" w:hAnsi="Garamond" w:cs="Times New Roman"/>
          <w:i/>
          <w:iCs/>
          <w:sz w:val="24"/>
          <w:szCs w:val="24"/>
        </w:rPr>
        <w:t>g</w:t>
      </w:r>
      <w:r w:rsidRPr="00DD79E1">
        <w:rPr>
          <w:rFonts w:ascii="Garamond" w:hAnsi="Garamond" w:cs="Times New Roman"/>
          <w:i/>
          <w:iCs/>
          <w:sz w:val="24"/>
          <w:szCs w:val="24"/>
        </w:rPr>
        <w:t>overnance</w:t>
      </w:r>
      <w:r w:rsidRPr="00DD79E1">
        <w:rPr>
          <w:rFonts w:ascii="Garamond" w:hAnsi="Garamond" w:cs="Times New Roman"/>
          <w:sz w:val="24"/>
          <w:szCs w:val="24"/>
        </w:rPr>
        <w:t>.</w:t>
      </w:r>
      <w:proofErr w:type="gramEnd"/>
      <w:r w:rsidRPr="00DD79E1">
        <w:rPr>
          <w:rStyle w:val="FootnoteReference"/>
          <w:rFonts w:ascii="Garamond" w:hAnsi="Garamond" w:cs="Times New Roman"/>
          <w:sz w:val="24"/>
          <w:szCs w:val="24"/>
        </w:rPr>
        <w:footnoteReference w:id="4"/>
      </w:r>
      <w:r w:rsidR="004152B9" w:rsidRPr="00DD79E1">
        <w:rPr>
          <w:rFonts w:ascii="Garamond" w:hAnsi="Garamond" w:cs="Times New Roman"/>
          <w:sz w:val="24"/>
          <w:szCs w:val="24"/>
        </w:rPr>
        <w:t xml:space="preserve"> </w:t>
      </w:r>
      <w:proofErr w:type="gramStart"/>
      <w:r w:rsidR="00E67DDF" w:rsidRPr="00DD79E1">
        <w:rPr>
          <w:rFonts w:ascii="Garamond" w:hAnsi="Garamond" w:cs="Times New Roman"/>
          <w:sz w:val="24"/>
          <w:szCs w:val="24"/>
        </w:rPr>
        <w:t>Sejalan dengan konsep Islam, salah satu ibadah dalam bentuk pengormaban harta salah</w:t>
      </w:r>
      <w:r w:rsidR="006B17BF" w:rsidRPr="00DD79E1">
        <w:rPr>
          <w:rFonts w:ascii="Garamond" w:hAnsi="Garamond" w:cs="Times New Roman"/>
          <w:sz w:val="24"/>
          <w:szCs w:val="24"/>
        </w:rPr>
        <w:t xml:space="preserve"> </w:t>
      </w:r>
      <w:r w:rsidR="00E67DDF" w:rsidRPr="00DD79E1">
        <w:rPr>
          <w:rFonts w:ascii="Garamond" w:hAnsi="Garamond" w:cs="Times New Roman"/>
          <w:sz w:val="24"/>
          <w:szCs w:val="24"/>
        </w:rPr>
        <w:t>satunya adalah</w:t>
      </w:r>
      <w:r w:rsidR="006B17BF" w:rsidRPr="00DD79E1">
        <w:rPr>
          <w:rFonts w:ascii="Garamond" w:hAnsi="Garamond" w:cs="Times New Roman"/>
          <w:sz w:val="24"/>
          <w:szCs w:val="24"/>
        </w:rPr>
        <w:t xml:space="preserve"> wakaf</w:t>
      </w:r>
      <w:r w:rsidRPr="00DD79E1">
        <w:rPr>
          <w:rFonts w:ascii="Garamond" w:hAnsi="Garamond" w:cs="Times New Roman"/>
          <w:w w:val="110"/>
          <w:sz w:val="24"/>
          <w:szCs w:val="24"/>
        </w:rPr>
        <w:t>.</w:t>
      </w:r>
      <w:proofErr w:type="gramEnd"/>
      <w:r w:rsidRPr="00DD79E1">
        <w:rPr>
          <w:rStyle w:val="FootnoteReference"/>
          <w:rFonts w:ascii="Garamond" w:hAnsi="Garamond" w:cs="Times New Roman"/>
          <w:w w:val="110"/>
          <w:sz w:val="24"/>
          <w:szCs w:val="24"/>
        </w:rPr>
        <w:footnoteReference w:id="5"/>
      </w:r>
      <w:r w:rsidRPr="00DD79E1">
        <w:rPr>
          <w:rFonts w:ascii="Garamond" w:hAnsi="Garamond" w:cs="Times New Roman"/>
          <w:w w:val="110"/>
          <w:sz w:val="24"/>
          <w:szCs w:val="24"/>
        </w:rPr>
        <w:t xml:space="preserve"> </w:t>
      </w:r>
      <w:proofErr w:type="gramStart"/>
      <w:r w:rsidRPr="00DD79E1">
        <w:rPr>
          <w:rFonts w:ascii="Garamond" w:hAnsi="Garamond" w:cs="Times New Roman"/>
          <w:w w:val="110"/>
          <w:sz w:val="24"/>
          <w:szCs w:val="24"/>
        </w:rPr>
        <w:t>Wakaf termasuk tema dalam KHI bersama dengan hukum perkawinan dan kewarisan</w:t>
      </w:r>
      <w:r w:rsidRPr="00DD79E1">
        <w:rPr>
          <w:rFonts w:ascii="Garamond" w:hAnsi="Garamond"/>
          <w:sz w:val="24"/>
          <w:szCs w:val="24"/>
        </w:rPr>
        <w:t>.</w:t>
      </w:r>
      <w:proofErr w:type="gramEnd"/>
      <w:r w:rsidRPr="00DD79E1">
        <w:rPr>
          <w:rStyle w:val="FootnoteReference"/>
          <w:rFonts w:ascii="Garamond" w:hAnsi="Garamond"/>
          <w:sz w:val="24"/>
          <w:szCs w:val="24"/>
        </w:rPr>
        <w:footnoteReference w:id="6"/>
      </w:r>
      <w:r w:rsidR="002C33CC" w:rsidRPr="00DD79E1">
        <w:rPr>
          <w:rFonts w:ascii="Garamond" w:hAnsi="Garamond"/>
          <w:sz w:val="24"/>
          <w:szCs w:val="24"/>
        </w:rPr>
        <w:t xml:space="preserve"> Dalam Islam, </w:t>
      </w:r>
      <w:r w:rsidRPr="00DD79E1">
        <w:rPr>
          <w:rFonts w:ascii="Garamond" w:hAnsi="Garamond" w:cs="Times New Roman"/>
          <w:sz w:val="24"/>
          <w:szCs w:val="24"/>
        </w:rPr>
        <w:t>wakaf</w:t>
      </w:r>
      <w:r w:rsidR="002C33CC" w:rsidRPr="00DD79E1">
        <w:rPr>
          <w:rFonts w:ascii="Garamond" w:hAnsi="Garamond" w:cs="Times New Roman"/>
          <w:sz w:val="24"/>
          <w:szCs w:val="24"/>
        </w:rPr>
        <w:t xml:space="preserve"> memiliki arti </w:t>
      </w:r>
      <w:r w:rsidRPr="00DD79E1">
        <w:rPr>
          <w:rFonts w:ascii="Garamond" w:hAnsi="Garamond" w:cs="Times New Roman"/>
          <w:sz w:val="24"/>
          <w:szCs w:val="24"/>
        </w:rPr>
        <w:t>melepaskan</w:t>
      </w:r>
      <w:r w:rsidR="002C33CC" w:rsidRPr="00DD79E1">
        <w:rPr>
          <w:rFonts w:ascii="Garamond" w:hAnsi="Garamond" w:cs="Times New Roman"/>
          <w:sz w:val="24"/>
          <w:szCs w:val="24"/>
        </w:rPr>
        <w:t xml:space="preserve"> harta yang tujuannya hanya untuk </w:t>
      </w:r>
      <w:r w:rsidRPr="00DD79E1">
        <w:rPr>
          <w:rFonts w:ascii="Garamond" w:hAnsi="Garamond" w:cs="Times New Roman"/>
          <w:sz w:val="24"/>
          <w:szCs w:val="24"/>
        </w:rPr>
        <w:t>kepentingan</w:t>
      </w:r>
      <w:r w:rsidR="002C33CC" w:rsidRPr="00DD79E1">
        <w:rPr>
          <w:rFonts w:ascii="Garamond" w:hAnsi="Garamond" w:cs="Times New Roman"/>
          <w:sz w:val="24"/>
          <w:szCs w:val="24"/>
        </w:rPr>
        <w:t xml:space="preserve"> Islam serta untuk </w:t>
      </w:r>
      <w:r w:rsidRPr="00DD79E1">
        <w:rPr>
          <w:rFonts w:ascii="Garamond" w:hAnsi="Garamond" w:cs="Times New Roman"/>
          <w:sz w:val="24"/>
          <w:szCs w:val="24"/>
        </w:rPr>
        <w:t>kemanusiaan.</w:t>
      </w:r>
      <w:r w:rsidRPr="00DD79E1">
        <w:rPr>
          <w:rStyle w:val="FootnoteReference"/>
          <w:rFonts w:ascii="Garamond" w:hAnsi="Garamond" w:cs="Times New Roman"/>
          <w:sz w:val="24"/>
          <w:szCs w:val="24"/>
        </w:rPr>
        <w:footnoteReference w:id="7"/>
      </w:r>
      <w:r w:rsidRPr="00DD79E1">
        <w:rPr>
          <w:rFonts w:ascii="Garamond" w:hAnsi="Garamond" w:cs="Times New Roman"/>
          <w:sz w:val="24"/>
          <w:szCs w:val="24"/>
        </w:rPr>
        <w:t xml:space="preserve"> </w:t>
      </w:r>
      <w:proofErr w:type="gramStart"/>
      <w:r w:rsidR="00DF570F" w:rsidRPr="00DD79E1">
        <w:rPr>
          <w:rFonts w:ascii="Garamond" w:hAnsi="Garamond" w:cs="Times New Roman"/>
          <w:sz w:val="24"/>
          <w:szCs w:val="24"/>
        </w:rPr>
        <w:t xml:space="preserve">Setidaknya ada tiga ciri dari wakaf yaitu bersifat </w:t>
      </w:r>
      <w:r w:rsidRPr="00DD79E1">
        <w:rPr>
          <w:rFonts w:ascii="Garamond" w:hAnsi="Garamond" w:cs="Times New Roman"/>
          <w:sz w:val="24"/>
          <w:szCs w:val="24"/>
        </w:rPr>
        <w:t xml:space="preserve">abadi, </w:t>
      </w:r>
      <w:r w:rsidR="00DF570F" w:rsidRPr="00DD79E1">
        <w:rPr>
          <w:rFonts w:ascii="Garamond" w:hAnsi="Garamond" w:cs="Times New Roman"/>
          <w:sz w:val="24"/>
          <w:szCs w:val="24"/>
        </w:rPr>
        <w:t xml:space="preserve">tidak bisa </w:t>
      </w:r>
      <w:r w:rsidRPr="00DD79E1">
        <w:rPr>
          <w:rFonts w:ascii="Garamond" w:hAnsi="Garamond" w:cs="Times New Roman"/>
          <w:sz w:val="24"/>
          <w:szCs w:val="24"/>
        </w:rPr>
        <w:t>dibatalkan dan</w:t>
      </w:r>
      <w:r w:rsidR="00DF570F" w:rsidRPr="00DD79E1">
        <w:rPr>
          <w:rFonts w:ascii="Garamond" w:hAnsi="Garamond" w:cs="Times New Roman"/>
          <w:sz w:val="24"/>
          <w:szCs w:val="24"/>
        </w:rPr>
        <w:t xml:space="preserve"> yang terakhir adalah tidak bisa </w:t>
      </w:r>
      <w:r w:rsidRPr="00DD79E1">
        <w:rPr>
          <w:rFonts w:ascii="Garamond" w:hAnsi="Garamond" w:cs="Times New Roman"/>
          <w:sz w:val="24"/>
          <w:szCs w:val="24"/>
        </w:rPr>
        <w:lastRenderedPageBreak/>
        <w:t>dicabut.</w:t>
      </w:r>
      <w:proofErr w:type="gramEnd"/>
      <w:r w:rsidRPr="00DD79E1">
        <w:rPr>
          <w:rStyle w:val="FootnoteReference"/>
          <w:rFonts w:ascii="Garamond" w:hAnsi="Garamond" w:cs="Times New Roman"/>
          <w:sz w:val="24"/>
          <w:szCs w:val="24"/>
        </w:rPr>
        <w:footnoteReference w:id="8"/>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Wakaf berbeda dengan </w:t>
      </w:r>
      <w:r w:rsidRPr="00DD79E1">
        <w:rPr>
          <w:rFonts w:ascii="Garamond" w:hAnsi="Garamond" w:cstheme="majorBidi"/>
          <w:sz w:val="24"/>
          <w:szCs w:val="24"/>
        </w:rPr>
        <w:t>kewarisan,</w:t>
      </w:r>
      <w:r w:rsidRPr="00DD79E1">
        <w:rPr>
          <w:rStyle w:val="FootnoteReference"/>
          <w:rFonts w:ascii="Garamond" w:hAnsi="Garamond" w:cs="Times New Roman"/>
          <w:sz w:val="24"/>
          <w:szCs w:val="24"/>
          <w:shd w:val="clear" w:color="auto" w:fill="FFFFFF"/>
        </w:rPr>
        <w:footnoteReference w:id="9"/>
      </w:r>
      <w:r w:rsidRPr="00DD79E1">
        <w:rPr>
          <w:rFonts w:ascii="Garamond" w:hAnsi="Garamond" w:cstheme="majorBidi"/>
          <w:sz w:val="24"/>
          <w:szCs w:val="24"/>
        </w:rPr>
        <w:t xml:space="preserve"> dan peruntukannya tidak berdasarkan nasab.</w:t>
      </w:r>
      <w:proofErr w:type="gramEnd"/>
      <w:r w:rsidRPr="00DD79E1">
        <w:rPr>
          <w:rStyle w:val="FootnoteReference"/>
          <w:rFonts w:ascii="Garamond" w:hAnsi="Garamond" w:cs="Times New Roman"/>
          <w:sz w:val="24"/>
          <w:szCs w:val="24"/>
          <w:shd w:val="clear" w:color="auto" w:fill="FFFFFF"/>
        </w:rPr>
        <w:footnoteReference w:id="10"/>
      </w:r>
      <w:r w:rsidRPr="00DD79E1">
        <w:rPr>
          <w:rFonts w:ascii="Garamond" w:hAnsi="Garamond" w:cstheme="majorBidi"/>
          <w:sz w:val="24"/>
          <w:szCs w:val="24"/>
        </w:rPr>
        <w:t xml:space="preserve"> </w:t>
      </w:r>
      <w:proofErr w:type="gramStart"/>
      <w:r w:rsidRPr="00DD79E1">
        <w:rPr>
          <w:rFonts w:ascii="Garamond" w:hAnsi="Garamond" w:cstheme="majorBidi"/>
          <w:sz w:val="24"/>
          <w:szCs w:val="24"/>
        </w:rPr>
        <w:t>Wakaf sangat strategis karena memiliki pengaruh pada peningkatan ekonomi umat.</w:t>
      </w:r>
      <w:proofErr w:type="gramEnd"/>
      <w:r w:rsidRPr="00DD79E1">
        <w:rPr>
          <w:rStyle w:val="FootnoteReference"/>
          <w:rFonts w:ascii="Garamond" w:hAnsi="Garamond" w:cstheme="majorBidi"/>
          <w:sz w:val="24"/>
          <w:szCs w:val="24"/>
        </w:rPr>
        <w:footnoteReference w:id="11"/>
      </w:r>
      <w:r w:rsidRPr="00DD79E1">
        <w:rPr>
          <w:rFonts w:ascii="Garamond" w:hAnsi="Garamond" w:cstheme="majorBidi"/>
          <w:sz w:val="24"/>
          <w:szCs w:val="24"/>
        </w:rPr>
        <w:t xml:space="preserve"> </w:t>
      </w:r>
      <w:proofErr w:type="gramStart"/>
      <w:r w:rsidRPr="00DD79E1">
        <w:rPr>
          <w:rFonts w:ascii="Garamond" w:hAnsi="Garamond" w:cstheme="majorBidi"/>
          <w:sz w:val="24"/>
          <w:szCs w:val="24"/>
        </w:rPr>
        <w:t xml:space="preserve">Dalam pengelolaan setiap kebaikan perlu dilakukan dengan </w:t>
      </w:r>
      <w:r w:rsidRPr="00DD79E1">
        <w:rPr>
          <w:rFonts w:ascii="Garamond" w:hAnsi="Garamond" w:cstheme="majorBidi"/>
          <w:bCs/>
          <w:sz w:val="24"/>
          <w:szCs w:val="24"/>
        </w:rPr>
        <w:t>kerjasama.</w:t>
      </w:r>
      <w:proofErr w:type="gramEnd"/>
      <w:r w:rsidRPr="00DD79E1">
        <w:rPr>
          <w:rStyle w:val="FootnoteReference"/>
          <w:rFonts w:ascii="Garamond" w:hAnsi="Garamond" w:cs="Times New Roman"/>
          <w:sz w:val="24"/>
          <w:szCs w:val="24"/>
        </w:rPr>
        <w:footnoteReference w:id="12"/>
      </w:r>
      <w:r w:rsidR="005F5D41" w:rsidRPr="00DD79E1">
        <w:rPr>
          <w:rFonts w:ascii="Garamond" w:hAnsi="Garamond" w:cstheme="majorBidi"/>
          <w:bCs/>
          <w:sz w:val="24"/>
          <w:szCs w:val="24"/>
        </w:rPr>
        <w:t xml:space="preserve"> </w:t>
      </w:r>
      <w:proofErr w:type="gramStart"/>
      <w:r w:rsidR="005F5D41" w:rsidRPr="00DD79E1">
        <w:rPr>
          <w:rFonts w:ascii="Garamond" w:hAnsi="Garamond" w:cstheme="majorBidi"/>
          <w:bCs/>
          <w:sz w:val="24"/>
          <w:szCs w:val="24"/>
        </w:rPr>
        <w:t>Wakaf memiliki kedudukan yang sangat mulia karena peranannya sangat luar biasa dalam pemberdayaan umat.</w:t>
      </w:r>
      <w:proofErr w:type="gramEnd"/>
      <w:r w:rsidR="005F5D41" w:rsidRPr="00DD79E1">
        <w:rPr>
          <w:rFonts w:ascii="Garamond" w:hAnsi="Garamond" w:cstheme="majorBidi"/>
          <w:bCs/>
          <w:sz w:val="24"/>
          <w:szCs w:val="24"/>
        </w:rPr>
        <w:t xml:space="preserve"> </w:t>
      </w:r>
      <w:r w:rsidRPr="00DD79E1">
        <w:rPr>
          <w:rStyle w:val="FootnoteReference"/>
          <w:rFonts w:ascii="Garamond" w:hAnsi="Garamond" w:cs="Times New Roman"/>
          <w:sz w:val="24"/>
          <w:szCs w:val="24"/>
        </w:rPr>
        <w:footnoteReference w:id="13"/>
      </w:r>
    </w:p>
    <w:p w:rsidR="00D81A50" w:rsidRPr="00DD79E1" w:rsidRDefault="005F5D41" w:rsidP="00DF5C26">
      <w:pPr>
        <w:tabs>
          <w:tab w:val="left" w:pos="567"/>
        </w:tabs>
        <w:spacing w:after="0" w:line="240" w:lineRule="auto"/>
        <w:ind w:right="3" w:firstLine="567"/>
        <w:jc w:val="both"/>
        <w:rPr>
          <w:rFonts w:ascii="Garamond" w:hAnsi="Garamond" w:cs="Times New Roman"/>
          <w:sz w:val="24"/>
          <w:szCs w:val="24"/>
          <w:shd w:val="clear" w:color="auto" w:fill="FFFFFF"/>
        </w:rPr>
      </w:pPr>
      <w:proofErr w:type="gramStart"/>
      <w:r w:rsidRPr="00DD79E1">
        <w:rPr>
          <w:rFonts w:ascii="Garamond" w:hAnsi="Garamond" w:cstheme="majorBidi"/>
          <w:bCs/>
          <w:sz w:val="24"/>
          <w:szCs w:val="24"/>
        </w:rPr>
        <w:t xml:space="preserve">Indonesia membentuk </w:t>
      </w:r>
      <w:r w:rsidR="00AF71DD" w:rsidRPr="00DD79E1">
        <w:rPr>
          <w:rFonts w:ascii="Garamond" w:hAnsi="Garamond" w:cs="Times New Roman"/>
          <w:sz w:val="24"/>
          <w:szCs w:val="24"/>
        </w:rPr>
        <w:t>U</w:t>
      </w:r>
      <w:r w:rsidRPr="00DD79E1">
        <w:rPr>
          <w:rFonts w:ascii="Garamond" w:hAnsi="Garamond" w:cs="Times New Roman"/>
          <w:sz w:val="24"/>
          <w:szCs w:val="24"/>
        </w:rPr>
        <w:t xml:space="preserve">U No. </w:t>
      </w:r>
      <w:r w:rsidR="00AF71DD" w:rsidRPr="00DD79E1">
        <w:rPr>
          <w:rFonts w:ascii="Garamond" w:hAnsi="Garamond" w:cs="Times New Roman"/>
          <w:sz w:val="24"/>
          <w:szCs w:val="24"/>
        </w:rPr>
        <w:t xml:space="preserve">41 </w:t>
      </w:r>
      <w:r w:rsidRPr="00DD79E1">
        <w:rPr>
          <w:rFonts w:ascii="Garamond" w:hAnsi="Garamond" w:cs="Times New Roman"/>
          <w:sz w:val="24"/>
          <w:szCs w:val="24"/>
        </w:rPr>
        <w:t>t</w:t>
      </w:r>
      <w:r w:rsidR="00AF71DD" w:rsidRPr="00DD79E1">
        <w:rPr>
          <w:rFonts w:ascii="Garamond" w:hAnsi="Garamond" w:cs="Times New Roman"/>
          <w:sz w:val="24"/>
          <w:szCs w:val="24"/>
        </w:rPr>
        <w:t>ahun 2004 tentang Wakaf</w:t>
      </w:r>
      <w:r w:rsidRPr="00DD79E1">
        <w:rPr>
          <w:rFonts w:ascii="Garamond" w:hAnsi="Garamond" w:cs="Times New Roman"/>
          <w:sz w:val="24"/>
          <w:szCs w:val="24"/>
        </w:rPr>
        <w:t xml:space="preserve"> untuk mengatur perwakafan di tanah air</w:t>
      </w:r>
      <w:r w:rsidR="00AF71DD" w:rsidRPr="00DD79E1">
        <w:rPr>
          <w:rFonts w:ascii="Garamond" w:hAnsi="Garamond" w:cs="Times New Roman"/>
          <w:sz w:val="24"/>
          <w:szCs w:val="24"/>
        </w:rPr>
        <w:t>.</w:t>
      </w:r>
      <w:proofErr w:type="gramEnd"/>
      <w:r w:rsidR="00AF71DD" w:rsidRPr="00DD79E1">
        <w:rPr>
          <w:rStyle w:val="FootnoteReference"/>
          <w:rFonts w:ascii="Garamond" w:hAnsi="Garamond" w:cs="Times New Roman"/>
          <w:sz w:val="24"/>
          <w:szCs w:val="24"/>
        </w:rPr>
        <w:footnoteReference w:id="14"/>
      </w:r>
      <w:r w:rsidR="00D81A50" w:rsidRPr="00DD79E1">
        <w:rPr>
          <w:rFonts w:ascii="Garamond" w:hAnsi="Garamond" w:cs="Times New Roman"/>
          <w:sz w:val="24"/>
          <w:szCs w:val="24"/>
        </w:rPr>
        <w:t xml:space="preserve"> </w:t>
      </w:r>
      <w:proofErr w:type="gramStart"/>
      <w:r w:rsidR="00516D8E" w:rsidRPr="00DD79E1">
        <w:rPr>
          <w:rFonts w:ascii="Garamond" w:hAnsi="Garamond" w:cs="Times New Roman"/>
          <w:sz w:val="24"/>
          <w:szCs w:val="24"/>
        </w:rPr>
        <w:t xml:space="preserve">Agar wakaf berkembang maka perlu dikelola dengan baik dan modern, tentunya dengan tetap berpedoman pada nilai-nilai agama dan terkoordinasi oleh </w:t>
      </w:r>
      <w:r w:rsidR="00AF71DD" w:rsidRPr="00DD79E1">
        <w:rPr>
          <w:rFonts w:ascii="Garamond" w:hAnsi="Garamond" w:cs="Times New Roman"/>
          <w:sz w:val="24"/>
          <w:szCs w:val="24"/>
        </w:rPr>
        <w:t>BWI.</w:t>
      </w:r>
      <w:proofErr w:type="gramEnd"/>
      <w:r w:rsidR="00AF71DD" w:rsidRPr="00DD79E1">
        <w:rPr>
          <w:rStyle w:val="FootnoteReference"/>
          <w:rFonts w:ascii="Garamond" w:hAnsi="Garamond" w:cs="Times New Roman"/>
          <w:sz w:val="24"/>
          <w:szCs w:val="24"/>
        </w:rPr>
        <w:footnoteReference w:id="15"/>
      </w:r>
      <w:r w:rsidR="00575BED" w:rsidRPr="00DD79E1">
        <w:rPr>
          <w:rFonts w:ascii="Garamond" w:hAnsi="Garamond" w:cs="Times New Roman"/>
          <w:sz w:val="24"/>
          <w:szCs w:val="24"/>
        </w:rPr>
        <w:t xml:space="preserve"> Namun, pada prakteknya memang belum sepenuhnya tertib dan efisien</w:t>
      </w:r>
      <w:r w:rsidR="00AF71DD" w:rsidRPr="00DD79E1">
        <w:rPr>
          <w:rStyle w:val="FootnoteReference"/>
          <w:rFonts w:ascii="Garamond" w:hAnsi="Garamond" w:cs="Times New Roman"/>
          <w:sz w:val="24"/>
          <w:szCs w:val="24"/>
        </w:rPr>
        <w:footnoteReference w:id="16"/>
      </w:r>
      <w:r w:rsidR="00AF71DD" w:rsidRPr="00DD79E1">
        <w:rPr>
          <w:rFonts w:ascii="Garamond" w:hAnsi="Garamond" w:cs="Times New Roman"/>
          <w:sz w:val="24"/>
          <w:szCs w:val="24"/>
        </w:rPr>
        <w:t xml:space="preserve"> </w:t>
      </w:r>
      <w:r w:rsidR="00575BED" w:rsidRPr="00DD79E1">
        <w:rPr>
          <w:rFonts w:ascii="Garamond" w:hAnsi="Garamond" w:cs="Times New Roman"/>
          <w:sz w:val="24"/>
          <w:szCs w:val="24"/>
        </w:rPr>
        <w:t xml:space="preserve">karena </w:t>
      </w:r>
      <w:r w:rsidR="00AF71DD" w:rsidRPr="00DD79E1">
        <w:rPr>
          <w:rFonts w:ascii="Garamond" w:hAnsi="Garamond" w:cs="Times New Roman"/>
          <w:sz w:val="24"/>
          <w:szCs w:val="24"/>
        </w:rPr>
        <w:t xml:space="preserve">disebabkan oleh sejumlah faktor, antara lain </w:t>
      </w:r>
      <w:r w:rsidR="00DF5C26" w:rsidRPr="00DD79E1">
        <w:rPr>
          <w:rFonts w:ascii="Garamond" w:hAnsi="Garamond" w:cs="Times New Roman"/>
          <w:sz w:val="24"/>
          <w:szCs w:val="24"/>
        </w:rPr>
        <w:t xml:space="preserve">karena kurangnya sosialisasi undang-undang perwakafan serta peraturan perundang-undangan yang kurang responsif terhadap perkembangan zaman. </w:t>
      </w:r>
      <w:r w:rsidR="00AF71DD" w:rsidRPr="00DD79E1">
        <w:rPr>
          <w:rFonts w:ascii="Garamond" w:hAnsi="Garamond" w:cs="Times New Roman"/>
          <w:sz w:val="24"/>
          <w:szCs w:val="24"/>
        </w:rPr>
        <w:t>Selain itu,</w:t>
      </w:r>
      <w:r w:rsidR="00DF5C26" w:rsidRPr="00DD79E1">
        <w:rPr>
          <w:rFonts w:ascii="Garamond" w:hAnsi="Garamond" w:cs="Times New Roman"/>
          <w:sz w:val="24"/>
          <w:szCs w:val="24"/>
        </w:rPr>
        <w:t xml:space="preserve"> para pejabat teknis wakaf belum memiliki persepsi yang </w:t>
      </w:r>
      <w:proofErr w:type="gramStart"/>
      <w:r w:rsidR="00DF5C26" w:rsidRPr="00DD79E1">
        <w:rPr>
          <w:rFonts w:ascii="Garamond" w:hAnsi="Garamond" w:cs="Times New Roman"/>
          <w:sz w:val="24"/>
          <w:szCs w:val="24"/>
        </w:rPr>
        <w:t>sama</w:t>
      </w:r>
      <w:proofErr w:type="gramEnd"/>
      <w:r w:rsidR="00DF5C26" w:rsidRPr="00DD79E1">
        <w:rPr>
          <w:rFonts w:ascii="Garamond" w:hAnsi="Garamond" w:cs="Times New Roman"/>
          <w:sz w:val="24"/>
          <w:szCs w:val="24"/>
        </w:rPr>
        <w:t xml:space="preserve"> dalam pengembangan dan pemberdayaan wakaf. </w:t>
      </w:r>
      <w:proofErr w:type="gramStart"/>
      <w:r w:rsidR="00AF71DD" w:rsidRPr="00DD79E1">
        <w:rPr>
          <w:rFonts w:ascii="Garamond" w:hAnsi="Garamond" w:cs="Times New Roman"/>
          <w:sz w:val="24"/>
          <w:szCs w:val="24"/>
        </w:rPr>
        <w:t xml:space="preserve">Kemudian, </w:t>
      </w:r>
      <w:r w:rsidR="00DF5C26" w:rsidRPr="00DD79E1">
        <w:rPr>
          <w:rFonts w:ascii="Garamond" w:hAnsi="Garamond" w:cs="Times New Roman"/>
          <w:sz w:val="24"/>
          <w:szCs w:val="24"/>
        </w:rPr>
        <w:t>sebagaian nazhir juga belum profesional.</w:t>
      </w:r>
      <w:proofErr w:type="gramEnd"/>
      <w:r w:rsidR="00DF5C26" w:rsidRPr="00DD79E1">
        <w:rPr>
          <w:rFonts w:ascii="Garamond" w:hAnsi="Garamond" w:cs="Times New Roman"/>
          <w:sz w:val="24"/>
          <w:szCs w:val="24"/>
        </w:rPr>
        <w:t xml:space="preserve"> </w:t>
      </w:r>
      <w:proofErr w:type="gramStart"/>
      <w:r w:rsidR="00DF5C26" w:rsidRPr="00DD79E1">
        <w:rPr>
          <w:rFonts w:ascii="Garamond" w:hAnsi="Garamond" w:cs="Times New Roman"/>
          <w:sz w:val="24"/>
          <w:szCs w:val="24"/>
        </w:rPr>
        <w:t xml:space="preserve">Padahal peran nazhir sangat penting </w:t>
      </w:r>
      <w:r w:rsidR="00AF71DD" w:rsidRPr="00DD79E1">
        <w:rPr>
          <w:rFonts w:ascii="Garamond" w:hAnsi="Garamond" w:cs="Times New Roman"/>
          <w:sz w:val="24"/>
          <w:szCs w:val="24"/>
        </w:rPr>
        <w:t>dalam</w:t>
      </w:r>
      <w:r w:rsidR="00DF5C26" w:rsidRPr="00DD79E1">
        <w:rPr>
          <w:rFonts w:ascii="Garamond" w:hAnsi="Garamond" w:cs="Times New Roman"/>
          <w:sz w:val="24"/>
          <w:szCs w:val="24"/>
        </w:rPr>
        <w:t xml:space="preserve"> pemberdayaan wakaf</w:t>
      </w:r>
      <w:r w:rsidR="00AF71DD" w:rsidRPr="00DD79E1">
        <w:rPr>
          <w:rFonts w:ascii="Garamond" w:hAnsi="Garamond" w:cs="Times New Roman"/>
          <w:sz w:val="24"/>
          <w:szCs w:val="24"/>
        </w:rPr>
        <w:t>.</w:t>
      </w:r>
      <w:proofErr w:type="gramEnd"/>
      <w:r w:rsidR="00AF71DD" w:rsidRPr="00DD79E1">
        <w:rPr>
          <w:rFonts w:ascii="Garamond" w:hAnsi="Garamond" w:cs="Times New Roman"/>
          <w:sz w:val="24"/>
          <w:szCs w:val="24"/>
        </w:rPr>
        <w:t xml:space="preserve"> Transparansi adalah fondasi untuk membangun kepercayaan dan </w:t>
      </w:r>
      <w:proofErr w:type="gramStart"/>
      <w:r w:rsidR="00AF71DD" w:rsidRPr="00DD79E1">
        <w:rPr>
          <w:rFonts w:ascii="Garamond" w:hAnsi="Garamond" w:cs="Times New Roman"/>
          <w:sz w:val="24"/>
          <w:szCs w:val="24"/>
        </w:rPr>
        <w:t>menjadikan  wakaf</w:t>
      </w:r>
      <w:proofErr w:type="gramEnd"/>
      <w:r w:rsidR="00AF71DD" w:rsidRPr="00DD79E1">
        <w:rPr>
          <w:rFonts w:ascii="Garamond" w:hAnsi="Garamond" w:cs="Times New Roman"/>
          <w:sz w:val="24"/>
          <w:szCs w:val="24"/>
        </w:rPr>
        <w:t xml:space="preserve"> lebih kuat dan berdampak</w:t>
      </w:r>
      <w:r w:rsidR="00DF5C26" w:rsidRPr="00DD79E1">
        <w:rPr>
          <w:rFonts w:ascii="Garamond" w:hAnsi="Garamond" w:cs="Times New Roman"/>
          <w:sz w:val="24"/>
          <w:szCs w:val="24"/>
        </w:rPr>
        <w:t xml:space="preserve"> positif pada peningkatan ekonomi umat</w:t>
      </w:r>
      <w:r w:rsidR="00AF71DD" w:rsidRPr="00DD79E1">
        <w:rPr>
          <w:rFonts w:ascii="Garamond" w:hAnsi="Garamond" w:cs="Times New Roman"/>
          <w:sz w:val="24"/>
          <w:szCs w:val="24"/>
        </w:rPr>
        <w:t>.</w:t>
      </w:r>
      <w:r w:rsidR="00AF71DD" w:rsidRPr="00DD79E1">
        <w:rPr>
          <w:rStyle w:val="FootnoteReference"/>
          <w:rFonts w:ascii="Garamond" w:hAnsi="Garamond" w:cs="Times New Roman"/>
          <w:sz w:val="24"/>
          <w:szCs w:val="24"/>
          <w:shd w:val="clear" w:color="auto" w:fill="FFFFFF"/>
        </w:rPr>
        <w:footnoteReference w:id="17"/>
      </w:r>
    </w:p>
    <w:p w:rsidR="00F77A48" w:rsidRPr="00DD79E1" w:rsidRDefault="00AF71DD" w:rsidP="00F77A48">
      <w:pPr>
        <w:tabs>
          <w:tab w:val="left" w:pos="567"/>
        </w:tabs>
        <w:spacing w:after="0" w:line="240" w:lineRule="auto"/>
        <w:ind w:right="3" w:firstLine="567"/>
        <w:jc w:val="both"/>
        <w:rPr>
          <w:rFonts w:ascii="Garamond" w:hAnsi="Garamond" w:cs="Times New Roman"/>
          <w:sz w:val="24"/>
          <w:szCs w:val="24"/>
        </w:rPr>
      </w:pPr>
      <w:proofErr w:type="gramStart"/>
      <w:r w:rsidRPr="00DD79E1">
        <w:rPr>
          <w:rFonts w:ascii="Garamond" w:hAnsi="Garamond" w:cs="Times New Roman"/>
          <w:sz w:val="24"/>
          <w:szCs w:val="24"/>
        </w:rPr>
        <w:t xml:space="preserve">Problematika perwakafan </w:t>
      </w:r>
      <w:r w:rsidR="00D22E5E" w:rsidRPr="00DD79E1">
        <w:rPr>
          <w:rFonts w:ascii="Garamond" w:hAnsi="Garamond" w:cs="Times New Roman"/>
          <w:sz w:val="24"/>
          <w:szCs w:val="24"/>
        </w:rPr>
        <w:t xml:space="preserve">terjadi di berbagai daerah, </w:t>
      </w:r>
      <w:r w:rsidRPr="00DD79E1">
        <w:rPr>
          <w:rFonts w:ascii="Garamond" w:hAnsi="Garamond" w:cs="Times New Roman"/>
          <w:sz w:val="24"/>
          <w:szCs w:val="24"/>
        </w:rPr>
        <w:t>termasuk di Provinsi Lampung</w:t>
      </w:r>
      <w:r w:rsidR="00D22E5E" w:rsidRPr="00DD79E1">
        <w:rPr>
          <w:rFonts w:ascii="Garamond" w:hAnsi="Garamond" w:cs="Times New Roman"/>
          <w:sz w:val="24"/>
          <w:szCs w:val="24"/>
        </w:rPr>
        <w:t xml:space="preserve"> dan Sumatera Selatan</w:t>
      </w:r>
      <w:r w:rsidRPr="00DD79E1">
        <w:rPr>
          <w:rFonts w:ascii="Garamond" w:hAnsi="Garamond" w:cs="Times New Roman"/>
          <w:sz w:val="24"/>
          <w:szCs w:val="24"/>
        </w:rPr>
        <w: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Di Lampung misalnya, kasus wakaf terjadi di banyak tempat.</w:t>
      </w:r>
      <w:proofErr w:type="gramEnd"/>
      <w:r w:rsidRPr="00DD79E1">
        <w:rPr>
          <w:rFonts w:ascii="Garamond" w:hAnsi="Garamond" w:cs="Times New Roman"/>
          <w:sz w:val="24"/>
          <w:szCs w:val="24"/>
        </w:rPr>
        <w:t xml:space="preserve"> Di Bandar Lampung, masyarakat terlibat keributan gara-gara tanah wakaf. </w:t>
      </w:r>
      <w:proofErr w:type="gramStart"/>
      <w:r w:rsidRPr="00DD79E1">
        <w:rPr>
          <w:rFonts w:ascii="Garamond" w:hAnsi="Garamond" w:cs="Times New Roman"/>
          <w:sz w:val="24"/>
          <w:szCs w:val="24"/>
        </w:rPr>
        <w:t>Kemudian s</w:t>
      </w:r>
      <w:r w:rsidRPr="00DD79E1">
        <w:rPr>
          <w:rFonts w:ascii="Garamond" w:hAnsi="Garamond" w:cs="Times New Roman"/>
          <w:sz w:val="24"/>
          <w:szCs w:val="24"/>
          <w:shd w:val="clear" w:color="auto" w:fill="FFFFFF"/>
        </w:rPr>
        <w:t>engketa wakaf antara warga Labuhan Ratu dengan salah satu perguruan tinggi.</w:t>
      </w:r>
      <w:proofErr w:type="gramEnd"/>
      <w:r w:rsidRPr="00DD79E1">
        <w:rPr>
          <w:rFonts w:ascii="Garamond" w:hAnsi="Garamond" w:cs="Times New Roman"/>
          <w:sz w:val="24"/>
          <w:szCs w:val="24"/>
          <w:shd w:val="clear" w:color="auto" w:fill="FFFFFF"/>
        </w:rPr>
        <w:t xml:space="preserve">  </w:t>
      </w:r>
      <w:proofErr w:type="gramStart"/>
      <w:r w:rsidR="00C37BF4" w:rsidRPr="00DD79E1">
        <w:rPr>
          <w:rFonts w:ascii="Garamond" w:hAnsi="Garamond" w:cs="Times New Roman"/>
          <w:sz w:val="24"/>
          <w:szCs w:val="24"/>
        </w:rPr>
        <w:t>D</w:t>
      </w:r>
      <w:r w:rsidRPr="00DD79E1">
        <w:rPr>
          <w:rFonts w:ascii="Garamond" w:hAnsi="Garamond" w:cs="Times New Roman"/>
          <w:sz w:val="24"/>
          <w:szCs w:val="24"/>
        </w:rPr>
        <w:t>i Kabupaten Lampung Tengah</w:t>
      </w:r>
      <w:r w:rsidR="00C37BF4" w:rsidRPr="00DD79E1">
        <w:rPr>
          <w:rFonts w:ascii="Garamond" w:hAnsi="Garamond" w:cs="Times New Roman"/>
          <w:sz w:val="24"/>
          <w:szCs w:val="24"/>
        </w:rPr>
        <w:t xml:space="preserve"> juga </w:t>
      </w:r>
      <w:r w:rsidRPr="00DD79E1">
        <w:rPr>
          <w:rFonts w:ascii="Garamond" w:hAnsi="Garamond" w:cs="Times New Roman"/>
          <w:sz w:val="24"/>
          <w:szCs w:val="24"/>
        </w:rPr>
        <w:t>ada warga</w:t>
      </w:r>
      <w:r w:rsidR="00C37BF4" w:rsidRPr="00DD79E1">
        <w:rPr>
          <w:rFonts w:ascii="Garamond" w:hAnsi="Garamond" w:cs="Times New Roman"/>
          <w:sz w:val="24"/>
          <w:szCs w:val="24"/>
        </w:rPr>
        <w:t xml:space="preserve"> </w:t>
      </w:r>
      <w:r w:rsidR="00C37BF4" w:rsidRPr="00DD79E1">
        <w:rPr>
          <w:rFonts w:ascii="Garamond" w:hAnsi="Garamond" w:cs="Times New Roman"/>
          <w:sz w:val="24"/>
          <w:szCs w:val="24"/>
        </w:rPr>
        <w:lastRenderedPageBreak/>
        <w:t>yang</w:t>
      </w:r>
      <w:r w:rsidRPr="00DD79E1">
        <w:rPr>
          <w:rFonts w:ascii="Garamond" w:hAnsi="Garamond" w:cs="Times New Roman"/>
          <w:sz w:val="24"/>
          <w:szCs w:val="24"/>
        </w:rPr>
        <w:t xml:space="preserve"> mewakafkan sebidang tanah untuk di bangun masjid.</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Namun, ahli waris atau anak dari wakif menginginkan lokasinya dibangun sekolah sehingga terjadilah sengketa.</w:t>
      </w:r>
      <w:proofErr w:type="gramEnd"/>
      <w:r w:rsidR="00C37BF4" w:rsidRPr="00DD79E1">
        <w:rPr>
          <w:rFonts w:ascii="Garamond" w:hAnsi="Garamond" w:cs="Times New Roman"/>
          <w:sz w:val="24"/>
          <w:szCs w:val="24"/>
        </w:rPr>
        <w:t xml:space="preserve"> </w:t>
      </w:r>
      <w:proofErr w:type="gramStart"/>
      <w:r w:rsidR="00C37BF4" w:rsidRPr="00DD79E1">
        <w:rPr>
          <w:rFonts w:ascii="Garamond" w:hAnsi="Garamond" w:cs="Times New Roman"/>
          <w:sz w:val="24"/>
          <w:szCs w:val="24"/>
        </w:rPr>
        <w:t xml:space="preserve">Ada juga </w:t>
      </w:r>
      <w:r w:rsidRPr="00DD79E1">
        <w:rPr>
          <w:rFonts w:ascii="Garamond" w:hAnsi="Garamond" w:cs="Times New Roman"/>
          <w:sz w:val="24"/>
          <w:szCs w:val="24"/>
        </w:rPr>
        <w:t xml:space="preserve">sengketa wakaf antara warga dengan </w:t>
      </w:r>
      <w:r w:rsidR="00C37BF4" w:rsidRPr="00DD79E1">
        <w:rPr>
          <w:rFonts w:ascii="Garamond" w:hAnsi="Garamond" w:cs="Times New Roman"/>
          <w:sz w:val="24"/>
          <w:szCs w:val="24"/>
        </w:rPr>
        <w:t>ormas</w:t>
      </w:r>
      <w:r w:rsidRPr="00DD79E1">
        <w:rPr>
          <w:rFonts w:ascii="Garamond" w:hAnsi="Garamond" w:cs="Times New Roman"/>
          <w:sz w:val="24"/>
          <w:szCs w:val="24"/>
        </w:rPr>
        <w:t>.</w:t>
      </w:r>
      <w:proofErr w:type="gramEnd"/>
      <w:r w:rsidR="00C37BF4" w:rsidRPr="00DD79E1">
        <w:rPr>
          <w:rFonts w:ascii="Garamond" w:hAnsi="Garamond" w:cs="Times New Roman"/>
          <w:sz w:val="24"/>
          <w:szCs w:val="24"/>
        </w:rPr>
        <w:t xml:space="preserve"> </w:t>
      </w:r>
      <w:proofErr w:type="gramStart"/>
      <w:r w:rsidRPr="00DD79E1">
        <w:rPr>
          <w:rFonts w:ascii="Garamond" w:hAnsi="Garamond" w:cs="Times New Roman"/>
          <w:sz w:val="24"/>
          <w:szCs w:val="24"/>
        </w:rPr>
        <w:t>Selain sengketa wakaf antar warga, kasus wakaf yang berujung di pengadilan juga terjadi di di Provinsi Sumatera Selatan, salah satu</w:t>
      </w:r>
      <w:r w:rsidR="00C37BF4" w:rsidRPr="00DD79E1">
        <w:rPr>
          <w:rFonts w:ascii="Garamond" w:hAnsi="Garamond" w:cs="Times New Roman"/>
          <w:sz w:val="24"/>
          <w:szCs w:val="24"/>
        </w:rPr>
        <w:t xml:space="preserve">nya adalah </w:t>
      </w:r>
      <w:r w:rsidRPr="00DD79E1">
        <w:rPr>
          <w:rFonts w:ascii="Garamond" w:hAnsi="Garamond" w:cs="Times New Roman"/>
          <w:sz w:val="24"/>
          <w:szCs w:val="24"/>
        </w:rPr>
        <w:t>Masjid Raya Sriwijaya, Palembang yang menjerat mantan</w:t>
      </w:r>
      <w:r w:rsidR="00C37BF4" w:rsidRPr="00DD79E1">
        <w:rPr>
          <w:rFonts w:ascii="Garamond" w:hAnsi="Garamond" w:cs="Times New Roman"/>
          <w:sz w:val="24"/>
          <w:szCs w:val="24"/>
        </w:rPr>
        <w:t xml:space="preserve"> kepala daerah</w:t>
      </w:r>
      <w:r w:rsidRPr="00DD79E1">
        <w:rPr>
          <w:rFonts w:ascii="Garamond" w:hAnsi="Garamond" w:cs="Times New Roman"/>
          <w:sz w:val="24"/>
          <w:szCs w:val="24"/>
        </w:rPr>
        <w:t>.</w:t>
      </w:r>
      <w:proofErr w:type="gramEnd"/>
      <w:r w:rsidRPr="00DD79E1">
        <w:rPr>
          <w:rFonts w:ascii="Garamond" w:hAnsi="Garamond" w:cs="Times New Roman"/>
          <w:sz w:val="24"/>
          <w:szCs w:val="24"/>
        </w:rPr>
        <w:t xml:space="preserve"> </w:t>
      </w:r>
      <w:proofErr w:type="gramStart"/>
      <w:r w:rsidRPr="00DD79E1">
        <w:rPr>
          <w:rFonts w:ascii="Garamond" w:hAnsi="Garamond" w:cs="Times New Roman"/>
          <w:spacing w:val="8"/>
          <w:sz w:val="24"/>
          <w:szCs w:val="24"/>
          <w:shd w:val="clear" w:color="auto" w:fill="FFFFFF"/>
        </w:rPr>
        <w:t xml:space="preserve">Selain itu, </w:t>
      </w:r>
      <w:r w:rsidRPr="00DD79E1">
        <w:rPr>
          <w:rFonts w:ascii="Garamond" w:hAnsi="Garamond" w:cs="Times New Roman"/>
          <w:sz w:val="24"/>
          <w:szCs w:val="24"/>
        </w:rPr>
        <w:t>problematika wakaf juga terjadi di tingkat peradilan.</w:t>
      </w:r>
      <w:proofErr w:type="gramEnd"/>
    </w:p>
    <w:p w:rsidR="005D16F8" w:rsidRPr="00DD79E1" w:rsidRDefault="00AF71DD" w:rsidP="005D16F8">
      <w:pPr>
        <w:tabs>
          <w:tab w:val="left" w:pos="567"/>
        </w:tabs>
        <w:spacing w:after="0" w:line="240" w:lineRule="auto"/>
        <w:ind w:right="3" w:firstLine="567"/>
        <w:jc w:val="both"/>
        <w:rPr>
          <w:rFonts w:ascii="Garamond" w:hAnsi="Garamond" w:cs="Times New Roman"/>
          <w:sz w:val="24"/>
          <w:szCs w:val="24"/>
        </w:rPr>
      </w:pPr>
      <w:r w:rsidRPr="00DD79E1">
        <w:rPr>
          <w:rFonts w:ascii="Garamond" w:hAnsi="Garamond" w:cs="Times New Roman"/>
          <w:sz w:val="24"/>
          <w:szCs w:val="24"/>
        </w:rPr>
        <w:t>Persoalan wakaf sudah diteliti sejumlah ilmuan, antara lain ditulis Khairuddin berjudul “Pergeseran Paradigma Pengaturan Wakaf Dalam Perspektif Hukum Progresif”.</w:t>
      </w:r>
      <w:r w:rsidRPr="00DD79E1">
        <w:rPr>
          <w:rStyle w:val="FootnoteReference"/>
          <w:rFonts w:ascii="Garamond" w:hAnsi="Garamond" w:cs="Times New Roman"/>
          <w:sz w:val="24"/>
          <w:szCs w:val="24"/>
        </w:rPr>
        <w:footnoteReference w:id="18"/>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Kemudian penelitian </w:t>
      </w:r>
      <w:r w:rsidRPr="00DD79E1">
        <w:rPr>
          <w:rFonts w:ascii="Garamond" w:hAnsi="Garamond" w:cs="Times New Roman"/>
          <w:sz w:val="24"/>
          <w:szCs w:val="24"/>
          <w:shd w:val="clear" w:color="auto" w:fill="FFFFFF"/>
        </w:rPr>
        <w:t xml:space="preserve">Veithzal Rivai Zainal berjudul </w:t>
      </w:r>
      <w:r w:rsidRPr="00DD79E1">
        <w:rPr>
          <w:rFonts w:ascii="Garamond" w:hAnsi="Garamond" w:cs="Times New Roman"/>
          <w:sz w:val="24"/>
          <w:szCs w:val="24"/>
        </w:rPr>
        <w:t>‘Pengelolaan dan Pengembangan Wakaf Produktif’.</w:t>
      </w:r>
      <w:proofErr w:type="gramEnd"/>
      <w:r w:rsidRPr="00DD79E1">
        <w:rPr>
          <w:rStyle w:val="FootnoteReference"/>
          <w:rFonts w:ascii="Garamond" w:hAnsi="Garamond" w:cs="Times New Roman"/>
          <w:sz w:val="24"/>
          <w:szCs w:val="24"/>
        </w:rPr>
        <w:footnoteReference w:id="19"/>
      </w:r>
      <w:r w:rsidRPr="00DD79E1">
        <w:rPr>
          <w:rFonts w:ascii="Garamond" w:hAnsi="Garamond" w:cs="Times New Roman"/>
          <w:sz w:val="24"/>
          <w:szCs w:val="24"/>
        </w:rPr>
        <w:t xml:space="preserve"> </w:t>
      </w:r>
      <w:proofErr w:type="gramStart"/>
      <w:r w:rsidRPr="00DD79E1">
        <w:rPr>
          <w:rFonts w:ascii="Garamond" w:hAnsi="Garamond" w:cs="Times New Roman"/>
          <w:sz w:val="24"/>
          <w:szCs w:val="24"/>
        </w:rPr>
        <w:t>Penelitian selanjutnya ditulis Ulya Kencana berjudul “Peralihan Status Harta Benda Wakaf Dalam Perspektif Hukum Pada Masyarakat Sumatera Selatan”</w:t>
      </w:r>
      <w:r w:rsidRPr="00DD79E1">
        <w:rPr>
          <w:rStyle w:val="Emphasis"/>
          <w:rFonts w:ascii="Garamond" w:hAnsi="Garamond" w:cs="Times New Roman"/>
          <w:sz w:val="24"/>
          <w:szCs w:val="24"/>
          <w:shd w:val="clear" w:color="auto" w:fill="FFFFFF"/>
        </w:rPr>
        <w:t>.</w:t>
      </w:r>
      <w:proofErr w:type="gramEnd"/>
      <w:r w:rsidRPr="00DD79E1">
        <w:rPr>
          <w:rStyle w:val="FootnoteReference"/>
          <w:rFonts w:ascii="Garamond" w:hAnsi="Garamond" w:cs="Times New Roman"/>
          <w:i/>
          <w:iCs/>
          <w:sz w:val="24"/>
          <w:szCs w:val="24"/>
          <w:shd w:val="clear" w:color="auto" w:fill="FFFFFF"/>
        </w:rPr>
        <w:footnoteReference w:id="20"/>
      </w:r>
      <w:r w:rsidRPr="00DD79E1">
        <w:rPr>
          <w:rStyle w:val="Emphasis"/>
          <w:rFonts w:ascii="Garamond" w:hAnsi="Garamond" w:cs="Times New Roman"/>
          <w:sz w:val="24"/>
          <w:szCs w:val="24"/>
          <w:shd w:val="clear" w:color="auto" w:fill="FFFFFF"/>
        </w:rPr>
        <w:t xml:space="preserve"> </w:t>
      </w:r>
      <w:proofErr w:type="gramStart"/>
      <w:r w:rsidRPr="00DD79E1">
        <w:rPr>
          <w:rStyle w:val="Emphasis"/>
          <w:rFonts w:ascii="Garamond" w:hAnsi="Garamond" w:cs="Times New Roman"/>
          <w:sz w:val="24"/>
          <w:szCs w:val="24"/>
          <w:shd w:val="clear" w:color="auto" w:fill="FFFFFF"/>
        </w:rPr>
        <w:t xml:space="preserve">Penelitian lainnya </w:t>
      </w:r>
      <w:r w:rsidRPr="00DD79E1">
        <w:rPr>
          <w:rFonts w:ascii="Garamond" w:hAnsi="Garamond" w:cs="Times New Roman"/>
          <w:sz w:val="24"/>
          <w:szCs w:val="24"/>
        </w:rPr>
        <w:t>ditulis Muhammad Beni Ardy berjudul “Analisis SWOT terhadap Wakaf Tunai di Badan Wakaf Indonesia Provinsi Sumatera Selatan”.</w:t>
      </w:r>
      <w:proofErr w:type="gramEnd"/>
      <w:r w:rsidRPr="00DD79E1">
        <w:rPr>
          <w:rStyle w:val="FootnoteReference"/>
          <w:rFonts w:ascii="Garamond" w:hAnsi="Garamond" w:cs="Times New Roman"/>
          <w:sz w:val="24"/>
          <w:szCs w:val="24"/>
        </w:rPr>
        <w:footnoteReference w:id="21"/>
      </w:r>
      <w:r w:rsidR="005D16F8"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Penelitian-penelitian diatas belum ada yang yang membahas tentang </w:t>
      </w:r>
      <w:r w:rsidR="005D16F8" w:rsidRPr="00DD79E1">
        <w:rPr>
          <w:rFonts w:ascii="Garamond" w:hAnsi="Garamond" w:cs="Times New Roman"/>
          <w:sz w:val="24"/>
          <w:szCs w:val="24"/>
        </w:rPr>
        <w:t>pembaruan hukum wakaf</w:t>
      </w:r>
      <w:r w:rsidRPr="00DD79E1">
        <w:rPr>
          <w:rFonts w:ascii="Garamond" w:hAnsi="Garamond" w:cs="Times New Roman"/>
          <w:sz w:val="24"/>
          <w:szCs w:val="24"/>
        </w:rPr>
        <w:t>, sehingga masalah ini sangat menarik untuk diteliti.</w:t>
      </w:r>
      <w:proofErr w:type="gramEnd"/>
      <w:r w:rsidRPr="00DD79E1">
        <w:rPr>
          <w:rFonts w:ascii="Garamond" w:hAnsi="Garamond" w:cs="Times New Roman"/>
          <w:sz w:val="24"/>
          <w:szCs w:val="24"/>
        </w:rPr>
        <w:t xml:space="preserve"> </w:t>
      </w:r>
    </w:p>
    <w:p w:rsidR="00215399" w:rsidRPr="00DD79E1" w:rsidRDefault="009847D7" w:rsidP="00AF71DD">
      <w:pPr>
        <w:spacing w:before="120" w:after="0" w:line="240" w:lineRule="auto"/>
        <w:jc w:val="both"/>
        <w:rPr>
          <w:rFonts w:ascii="Garamond" w:eastAsia="Garamond" w:hAnsi="Garamond" w:cs="Garamond"/>
          <w:b/>
          <w:sz w:val="24"/>
          <w:szCs w:val="24"/>
        </w:rPr>
      </w:pPr>
      <w:r w:rsidRPr="00DD79E1">
        <w:rPr>
          <w:rFonts w:ascii="Garamond" w:eastAsia="Garamond" w:hAnsi="Garamond" w:cs="Garamond"/>
          <w:b/>
          <w:sz w:val="24"/>
          <w:szCs w:val="24"/>
        </w:rPr>
        <w:t>Discussion</w:t>
      </w:r>
    </w:p>
    <w:p w:rsidR="00316CEF" w:rsidRPr="00DD79E1" w:rsidRDefault="00316CEF" w:rsidP="00C2300E">
      <w:pPr>
        <w:spacing w:after="0" w:line="240" w:lineRule="auto"/>
        <w:jc w:val="both"/>
        <w:rPr>
          <w:rFonts w:ascii="Garamond" w:hAnsi="Garamond" w:cs="Times New Roman"/>
          <w:b/>
          <w:sz w:val="24"/>
          <w:szCs w:val="24"/>
        </w:rPr>
      </w:pPr>
      <w:r w:rsidRPr="00DD79E1">
        <w:rPr>
          <w:rFonts w:ascii="Garamond" w:hAnsi="Garamond" w:cs="Times New Roman"/>
          <w:b/>
          <w:sz w:val="24"/>
          <w:szCs w:val="24"/>
        </w:rPr>
        <w:t>Konsep Wakaf Dalam Hukum Islam dan Hukum Positif</w:t>
      </w:r>
    </w:p>
    <w:p w:rsidR="002D7955" w:rsidRPr="00DD79E1" w:rsidRDefault="002D7955"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 xml:space="preserve">Wakaf secara terminology memiliki makna </w:t>
      </w:r>
      <w:r w:rsidR="00316CEF" w:rsidRPr="00DD79E1">
        <w:rPr>
          <w:rFonts w:ascii="Garamond" w:hAnsi="Garamond" w:cs="Times New Roman"/>
          <w:sz w:val="24"/>
          <w:szCs w:val="24"/>
        </w:rPr>
        <w:t>berhenti</w:t>
      </w:r>
      <w:r w:rsidRPr="00DD79E1">
        <w:rPr>
          <w:rFonts w:ascii="Garamond" w:hAnsi="Garamond" w:cs="Times New Roman"/>
          <w:sz w:val="24"/>
          <w:szCs w:val="24"/>
        </w:rPr>
        <w:t xml:space="preserve"> atau </w:t>
      </w:r>
      <w:r w:rsidR="00316CEF" w:rsidRPr="00DD79E1">
        <w:rPr>
          <w:rFonts w:ascii="Garamond" w:hAnsi="Garamond" w:cs="Times New Roman"/>
          <w:sz w:val="24"/>
          <w:szCs w:val="24"/>
        </w:rPr>
        <w:t>menahan.</w:t>
      </w:r>
      <w:proofErr w:type="gramEnd"/>
      <w:r w:rsidR="00316CEF" w:rsidRPr="00DD79E1">
        <w:rPr>
          <w:rStyle w:val="FootnoteReference"/>
          <w:rFonts w:ascii="Garamond" w:hAnsi="Garamond" w:cs="Times New Roman"/>
          <w:sz w:val="24"/>
          <w:szCs w:val="24"/>
        </w:rPr>
        <w:footnoteReference w:id="22"/>
      </w:r>
      <w:r w:rsidR="00316CEF" w:rsidRPr="00DD79E1">
        <w:rPr>
          <w:rFonts w:ascii="Garamond" w:hAnsi="Garamond" w:cs="Times New Roman"/>
          <w:sz w:val="24"/>
          <w:szCs w:val="24"/>
        </w:rPr>
        <w:t xml:space="preserve"> Sedangkan</w:t>
      </w:r>
      <w:r w:rsidRPr="00DD79E1">
        <w:rPr>
          <w:rFonts w:ascii="Garamond" w:hAnsi="Garamond" w:cs="Times New Roman"/>
          <w:sz w:val="24"/>
          <w:szCs w:val="24"/>
        </w:rPr>
        <w:t xml:space="preserve"> berdasarkan istilah wakaf yaitu </w:t>
      </w:r>
      <w:r w:rsidR="00316CEF" w:rsidRPr="00DD79E1">
        <w:rPr>
          <w:rFonts w:ascii="Garamond" w:hAnsi="Garamond" w:cs="Times New Roman"/>
          <w:sz w:val="24"/>
          <w:szCs w:val="24"/>
        </w:rPr>
        <w:t xml:space="preserve">menghentikan perpindahan hak milik atas sesuatu harta yang bermanfaat dan tahan lama, dengan </w:t>
      </w:r>
      <w:proofErr w:type="gramStart"/>
      <w:r w:rsidR="00316CEF" w:rsidRPr="00DD79E1">
        <w:rPr>
          <w:rFonts w:ascii="Garamond" w:hAnsi="Garamond" w:cs="Times New Roman"/>
          <w:sz w:val="24"/>
          <w:szCs w:val="24"/>
        </w:rPr>
        <w:t>cara</w:t>
      </w:r>
      <w:proofErr w:type="gramEnd"/>
      <w:r w:rsidR="00316CEF" w:rsidRPr="00DD79E1">
        <w:rPr>
          <w:rFonts w:ascii="Garamond" w:hAnsi="Garamond" w:cs="Times New Roman"/>
          <w:sz w:val="24"/>
          <w:szCs w:val="24"/>
        </w:rPr>
        <w:t xml:space="preserve"> menyerahkan harta itu kepada pengelola, hak perorangan, keluarga maupun lembaga untuk dipergunakan bagi kepentingan umat dijalan Allah SWT.</w:t>
      </w:r>
      <w:r w:rsidR="00316CEF" w:rsidRPr="00DD79E1">
        <w:rPr>
          <w:rStyle w:val="FootnoteReference"/>
          <w:rFonts w:ascii="Garamond" w:hAnsi="Garamond" w:cs="Times New Roman"/>
          <w:sz w:val="24"/>
          <w:szCs w:val="24"/>
        </w:rPr>
        <w:footnoteReference w:id="23"/>
      </w:r>
      <w:r w:rsidR="00316CEF" w:rsidRPr="00DD79E1">
        <w:rPr>
          <w:rFonts w:ascii="Garamond" w:hAnsi="Garamond" w:cs="Times New Roman"/>
          <w:sz w:val="24"/>
          <w:szCs w:val="24"/>
        </w:rPr>
        <w:t xml:space="preserve"> </w:t>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Menurut </w:t>
      </w:r>
      <w:r w:rsidR="00316CEF" w:rsidRPr="00DD79E1">
        <w:rPr>
          <w:rFonts w:ascii="Garamond" w:hAnsi="Garamond" w:cs="Times New Roman"/>
          <w:sz w:val="24"/>
          <w:szCs w:val="24"/>
        </w:rPr>
        <w:t>Abi Yahya Zakaria Al-anshari</w:t>
      </w:r>
      <w:r w:rsidRPr="00DD79E1">
        <w:rPr>
          <w:rFonts w:ascii="Garamond" w:hAnsi="Garamond" w:cs="Times New Roman"/>
          <w:sz w:val="24"/>
          <w:szCs w:val="24"/>
        </w:rPr>
        <w:t xml:space="preserve"> wakaf merupakan </w:t>
      </w:r>
      <w:r w:rsidR="00316CEF" w:rsidRPr="00DD79E1">
        <w:rPr>
          <w:rFonts w:ascii="Garamond" w:hAnsi="Garamond" w:cs="Times New Roman"/>
          <w:sz w:val="24"/>
          <w:szCs w:val="24"/>
        </w:rPr>
        <w:t xml:space="preserve">menahan harta </w:t>
      </w:r>
      <w:r w:rsidRPr="00DD79E1">
        <w:rPr>
          <w:rFonts w:ascii="Garamond" w:hAnsi="Garamond" w:cs="Times New Roman"/>
          <w:sz w:val="24"/>
          <w:szCs w:val="24"/>
        </w:rPr>
        <w:t>untuk dimanfaatkan untuk kegiatan-kegiatan yang bersifat tidak haram atau melarang syariat</w:t>
      </w:r>
      <w:r w:rsidR="00316CEF" w:rsidRPr="00DD79E1">
        <w:rPr>
          <w:rFonts w:ascii="Garamond" w:hAnsi="Garamond" w:cs="Times New Roman"/>
          <w:sz w:val="24"/>
          <w:szCs w:val="24"/>
        </w:rPr>
        <w:t>.</w:t>
      </w:r>
      <w:proofErr w:type="gramEnd"/>
      <w:r w:rsidR="00316CEF" w:rsidRPr="00DD79E1">
        <w:rPr>
          <w:rStyle w:val="FootnoteReference"/>
          <w:rFonts w:ascii="Garamond" w:hAnsi="Garamond" w:cs="Times New Roman"/>
          <w:sz w:val="24"/>
          <w:szCs w:val="24"/>
        </w:rPr>
        <w:footnoteReference w:id="24"/>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Selain itu wakaf juga merupakan sebuah penetapan yang bersifat abadi untuk diambil </w:t>
      </w:r>
      <w:r w:rsidRPr="00DD79E1">
        <w:rPr>
          <w:rFonts w:ascii="Garamond" w:hAnsi="Garamond" w:cs="Times New Roman"/>
          <w:sz w:val="24"/>
          <w:szCs w:val="24"/>
        </w:rPr>
        <w:lastRenderedPageBreak/>
        <w:t>manfaatnya</w:t>
      </w:r>
      <w:r w:rsidR="00316CEF" w:rsidRPr="00DD79E1">
        <w:rPr>
          <w:rFonts w:ascii="Garamond" w:hAnsi="Garamond" w:cs="Times New Roman"/>
          <w:sz w:val="24"/>
          <w:szCs w:val="24"/>
        </w:rPr>
        <w:t>.</w:t>
      </w:r>
      <w:proofErr w:type="gramEnd"/>
      <w:r w:rsidR="00316CEF" w:rsidRPr="00DD79E1">
        <w:rPr>
          <w:rStyle w:val="FootnoteReference"/>
          <w:rFonts w:ascii="Garamond" w:hAnsi="Garamond" w:cs="Times New Roman"/>
          <w:sz w:val="24"/>
          <w:szCs w:val="24"/>
        </w:rPr>
        <w:footnoteReference w:id="25"/>
      </w:r>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Sedangkan menurut Abu Hanifah, wakaf</w:t>
      </w:r>
      <w:r w:rsidRPr="00DD79E1">
        <w:rPr>
          <w:rFonts w:ascii="Garamond" w:hAnsi="Garamond" w:cs="Times New Roman"/>
          <w:sz w:val="24"/>
          <w:szCs w:val="24"/>
        </w:rPr>
        <w:t xml:space="preserve"> merupakan menahan benda untuk dipergunakan manfaatnya dalam rangka kebaikan</w:t>
      </w:r>
      <w:r w:rsidR="00316CEF" w:rsidRPr="00DD79E1">
        <w:rPr>
          <w:rFonts w:ascii="Garamond" w:hAnsi="Garamond" w:cs="Times New Roman"/>
          <w:sz w:val="24"/>
          <w:szCs w:val="24"/>
        </w:rPr>
        <w: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Sesuai dengan pengertian wakaf maka pihak yang memiliki harta terssebut </w:t>
      </w:r>
      <w:r w:rsidR="00316CEF" w:rsidRPr="00DD79E1">
        <w:rPr>
          <w:rFonts w:ascii="Garamond" w:hAnsi="Garamond" w:cs="Times New Roman"/>
          <w:sz w:val="24"/>
          <w:szCs w:val="24"/>
        </w:rPr>
        <w:t>tidak lepas dari</w:t>
      </w:r>
      <w:r w:rsidRPr="00DD79E1">
        <w:rPr>
          <w:rFonts w:ascii="Garamond" w:hAnsi="Garamond" w:cs="Times New Roman"/>
          <w:sz w:val="24"/>
          <w:szCs w:val="24"/>
        </w:rPr>
        <w:t xml:space="preserve"> pada</w:t>
      </w:r>
      <w:r w:rsidR="00316CEF" w:rsidRPr="00DD79E1">
        <w:rPr>
          <w:rFonts w:ascii="Garamond" w:hAnsi="Garamond" w:cs="Times New Roman"/>
          <w:sz w:val="24"/>
          <w:szCs w:val="24"/>
        </w:rPr>
        <w:t xml:space="preserve"> </w:t>
      </w:r>
      <w:r w:rsidR="00316CEF" w:rsidRPr="00DD79E1">
        <w:rPr>
          <w:rFonts w:ascii="Garamond" w:hAnsi="Garamond" w:cs="Times New Roman"/>
          <w:i/>
          <w:iCs/>
          <w:sz w:val="24"/>
          <w:szCs w:val="24"/>
        </w:rPr>
        <w:t>wakif</w:t>
      </w:r>
      <w:r w:rsidR="00316CEF" w:rsidRPr="00DD79E1">
        <w:rPr>
          <w:rFonts w:ascii="Garamond" w:hAnsi="Garamond" w:cs="Times New Roman"/>
          <w:sz w:val="24"/>
          <w:szCs w:val="24"/>
        </w:rPr>
        <w:t>.</w:t>
      </w:r>
      <w:proofErr w:type="gramEnd"/>
      <w:r w:rsidR="00316CEF" w:rsidRPr="00DD79E1">
        <w:rPr>
          <w:rStyle w:val="FootnoteReference"/>
          <w:rFonts w:ascii="Garamond" w:hAnsi="Garamond" w:cs="Times New Roman"/>
          <w:sz w:val="24"/>
          <w:szCs w:val="24"/>
        </w:rPr>
        <w:footnoteReference w:id="26"/>
      </w:r>
    </w:p>
    <w:p w:rsidR="008E1C9A" w:rsidRPr="00DD79E1" w:rsidRDefault="002D7955" w:rsidP="008E1C9A">
      <w:pPr>
        <w:pStyle w:val="ListParagraph"/>
        <w:spacing w:line="240" w:lineRule="auto"/>
        <w:ind w:left="0" w:firstLine="709"/>
        <w:jc w:val="both"/>
        <w:rPr>
          <w:rFonts w:ascii="Garamond" w:hAnsi="Garamond" w:cs="Times New Roman"/>
          <w:sz w:val="24"/>
          <w:szCs w:val="24"/>
        </w:rPr>
      </w:pPr>
      <w:r w:rsidRPr="00DD79E1">
        <w:rPr>
          <w:rFonts w:ascii="Garamond" w:hAnsi="Garamond" w:cs="Times New Roman"/>
          <w:sz w:val="24"/>
          <w:szCs w:val="24"/>
        </w:rPr>
        <w:t xml:space="preserve">Imam </w:t>
      </w:r>
      <w:proofErr w:type="gramStart"/>
      <w:r w:rsidRPr="00DD79E1">
        <w:rPr>
          <w:rFonts w:ascii="Garamond" w:hAnsi="Garamond" w:cs="Times New Roman"/>
          <w:sz w:val="24"/>
          <w:szCs w:val="24"/>
        </w:rPr>
        <w:t>mazhab</w:t>
      </w:r>
      <w:proofErr w:type="gramEnd"/>
      <w:r w:rsidRPr="00DD79E1">
        <w:rPr>
          <w:rFonts w:ascii="Garamond" w:hAnsi="Garamond" w:cs="Times New Roman"/>
          <w:sz w:val="24"/>
          <w:szCs w:val="24"/>
        </w:rPr>
        <w:t xml:space="preserve"> lainnya, </w:t>
      </w:r>
      <w:r w:rsidR="00316CEF" w:rsidRPr="00DD79E1">
        <w:rPr>
          <w:rFonts w:ascii="Garamond" w:hAnsi="Garamond" w:cs="Times New Roman"/>
          <w:sz w:val="24"/>
          <w:szCs w:val="24"/>
        </w:rPr>
        <w:t xml:space="preserve">Imam Maliki </w:t>
      </w:r>
      <w:r w:rsidRPr="00DD79E1">
        <w:rPr>
          <w:rFonts w:ascii="Garamond" w:hAnsi="Garamond" w:cs="Times New Roman"/>
          <w:sz w:val="24"/>
          <w:szCs w:val="24"/>
        </w:rPr>
        <w:t xml:space="preserve">berpendapat, </w:t>
      </w:r>
      <w:r w:rsidR="00316CEF" w:rsidRPr="00DD79E1">
        <w:rPr>
          <w:rFonts w:ascii="Garamond" w:hAnsi="Garamond" w:cs="Times New Roman"/>
          <w:sz w:val="24"/>
          <w:szCs w:val="24"/>
        </w:rPr>
        <w:t>wakaf</w:t>
      </w:r>
      <w:r w:rsidRPr="00DD79E1">
        <w:rPr>
          <w:rFonts w:ascii="Garamond" w:hAnsi="Garamond" w:cs="Times New Roman"/>
          <w:sz w:val="24"/>
          <w:szCs w:val="24"/>
        </w:rPr>
        <w:t xml:space="preserve"> bukanlan </w:t>
      </w:r>
      <w:r w:rsidR="00316CEF" w:rsidRPr="00DD79E1">
        <w:rPr>
          <w:rFonts w:ascii="Garamond" w:hAnsi="Garamond" w:cs="Times New Roman"/>
          <w:sz w:val="24"/>
          <w:szCs w:val="24"/>
        </w:rPr>
        <w:t>melepas</w:t>
      </w:r>
      <w:r w:rsidRPr="00DD79E1">
        <w:rPr>
          <w:rFonts w:ascii="Garamond" w:hAnsi="Garamond" w:cs="Times New Roman"/>
          <w:sz w:val="24"/>
          <w:szCs w:val="24"/>
        </w:rPr>
        <w:t xml:space="preserve"> </w:t>
      </w:r>
      <w:r w:rsidR="00316CEF" w:rsidRPr="00DD79E1">
        <w:rPr>
          <w:rFonts w:ascii="Garamond" w:hAnsi="Garamond" w:cs="Times New Roman"/>
          <w:sz w:val="24"/>
          <w:szCs w:val="24"/>
        </w:rPr>
        <w:t>harta yang diwakafkan</w:t>
      </w:r>
      <w:r w:rsidRPr="00DD79E1">
        <w:rPr>
          <w:rFonts w:ascii="Garamond" w:hAnsi="Garamond" w:cs="Times New Roman"/>
          <w:sz w:val="24"/>
          <w:szCs w:val="24"/>
        </w:rPr>
        <w:t xml:space="preserve">, melainkan </w:t>
      </w:r>
      <w:r w:rsidR="00316CEF" w:rsidRPr="00DD79E1">
        <w:rPr>
          <w:rFonts w:ascii="Garamond" w:hAnsi="Garamond" w:cs="Times New Roman"/>
          <w:sz w:val="24"/>
          <w:szCs w:val="24"/>
        </w:rPr>
        <w:t xml:space="preserve">mencegah </w:t>
      </w:r>
      <w:r w:rsidR="00316CEF" w:rsidRPr="00DD79E1">
        <w:rPr>
          <w:rFonts w:ascii="Garamond" w:hAnsi="Garamond" w:cs="Times New Roman"/>
          <w:i/>
          <w:iCs/>
          <w:sz w:val="24"/>
          <w:szCs w:val="24"/>
        </w:rPr>
        <w:t>wakif</w:t>
      </w:r>
      <w:r w:rsidR="00316CEF" w:rsidRPr="00DD79E1">
        <w:rPr>
          <w:rFonts w:ascii="Garamond" w:hAnsi="Garamond" w:cs="Times New Roman"/>
          <w:sz w:val="24"/>
          <w:szCs w:val="24"/>
        </w:rPr>
        <w:t xml:space="preserve"> melakukan </w:t>
      </w:r>
      <w:r w:rsidRPr="00DD79E1">
        <w:rPr>
          <w:rFonts w:ascii="Garamond" w:hAnsi="Garamond" w:cs="Times New Roman"/>
          <w:sz w:val="24"/>
          <w:szCs w:val="24"/>
        </w:rPr>
        <w:t xml:space="preserve">kegiatan </w:t>
      </w:r>
      <w:r w:rsidR="00316CEF" w:rsidRPr="00DD79E1">
        <w:rPr>
          <w:rFonts w:ascii="Garamond" w:hAnsi="Garamond" w:cs="Times New Roman"/>
          <w:sz w:val="24"/>
          <w:szCs w:val="24"/>
        </w:rPr>
        <w:t xml:space="preserve">yang </w:t>
      </w:r>
      <w:r w:rsidRPr="00DD79E1">
        <w:rPr>
          <w:rFonts w:ascii="Garamond" w:hAnsi="Garamond" w:cs="Times New Roman"/>
          <w:sz w:val="24"/>
          <w:szCs w:val="24"/>
        </w:rPr>
        <w:t xml:space="preserve">bisa </w:t>
      </w:r>
      <w:r w:rsidR="00316CEF" w:rsidRPr="00DD79E1">
        <w:rPr>
          <w:rFonts w:ascii="Garamond" w:hAnsi="Garamond" w:cs="Times New Roman"/>
          <w:sz w:val="24"/>
          <w:szCs w:val="24"/>
        </w:rPr>
        <w:t xml:space="preserve">melepaskan kepemilikannya atas harta tersebut kepada </w:t>
      </w:r>
      <w:r w:rsidRPr="00DD79E1">
        <w:rPr>
          <w:rFonts w:ascii="Garamond" w:hAnsi="Garamond" w:cs="Times New Roman"/>
          <w:sz w:val="24"/>
          <w:szCs w:val="24"/>
        </w:rPr>
        <w:t xml:space="preserve">orang </w:t>
      </w:r>
      <w:r w:rsidR="00316CEF" w:rsidRPr="00DD79E1">
        <w:rPr>
          <w:rFonts w:ascii="Garamond" w:hAnsi="Garamond" w:cs="Times New Roman"/>
          <w:sz w:val="24"/>
          <w:szCs w:val="24"/>
        </w:rPr>
        <w:t xml:space="preserve">lain dan </w:t>
      </w:r>
      <w:r w:rsidR="00316CEF" w:rsidRPr="00DD79E1">
        <w:rPr>
          <w:rFonts w:ascii="Garamond" w:hAnsi="Garamond" w:cs="Times New Roman"/>
          <w:i/>
          <w:iCs/>
          <w:sz w:val="24"/>
          <w:szCs w:val="24"/>
        </w:rPr>
        <w:t xml:space="preserve">wakif </w:t>
      </w:r>
      <w:r w:rsidRPr="00DD79E1">
        <w:rPr>
          <w:rFonts w:ascii="Garamond" w:hAnsi="Garamond" w:cs="Times New Roman"/>
          <w:iCs/>
          <w:sz w:val="24"/>
          <w:szCs w:val="24"/>
        </w:rPr>
        <w:t xml:space="preserve">memiliki kewajban menginfakkan </w:t>
      </w:r>
      <w:r w:rsidR="00316CEF" w:rsidRPr="00DD79E1">
        <w:rPr>
          <w:rFonts w:ascii="Garamond" w:hAnsi="Garamond" w:cs="Times New Roman"/>
          <w:sz w:val="24"/>
          <w:szCs w:val="24"/>
        </w:rPr>
        <w:t>manfaatnya.</w:t>
      </w:r>
      <w:r w:rsidR="00316CEF" w:rsidRPr="00DD79E1">
        <w:rPr>
          <w:rStyle w:val="FootnoteReference"/>
          <w:rFonts w:ascii="Garamond" w:hAnsi="Garamond" w:cs="Times New Roman"/>
          <w:sz w:val="24"/>
          <w:szCs w:val="24"/>
        </w:rPr>
        <w:footnoteReference w:id="27"/>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Sedangkan berdasarkan mazhab </w:t>
      </w:r>
      <w:r w:rsidR="00316CEF" w:rsidRPr="00DD79E1">
        <w:rPr>
          <w:rFonts w:ascii="Garamond" w:hAnsi="Garamond" w:cs="Times New Roman"/>
          <w:sz w:val="24"/>
          <w:szCs w:val="24"/>
        </w:rPr>
        <w:t>Syafi’i dan Hambali, wakaf</w:t>
      </w:r>
      <w:r w:rsidRPr="00DD79E1">
        <w:rPr>
          <w:rFonts w:ascii="Garamond" w:hAnsi="Garamond" w:cs="Times New Roman"/>
          <w:sz w:val="24"/>
          <w:szCs w:val="24"/>
        </w:rPr>
        <w:t xml:space="preserve"> yaitu </w:t>
      </w:r>
      <w:r w:rsidR="00316CEF" w:rsidRPr="00DD79E1">
        <w:rPr>
          <w:rFonts w:ascii="Garamond" w:hAnsi="Garamond" w:cs="Times New Roman"/>
          <w:sz w:val="24"/>
          <w:szCs w:val="24"/>
        </w:rPr>
        <w:t>melepas</w:t>
      </w:r>
      <w:r w:rsidRPr="00DD79E1">
        <w:rPr>
          <w:rFonts w:ascii="Garamond" w:hAnsi="Garamond" w:cs="Times New Roman"/>
          <w:sz w:val="24"/>
          <w:szCs w:val="24"/>
        </w:rPr>
        <w:t xml:space="preserve"> harta</w:t>
      </w:r>
      <w:r w:rsidR="00316CEF" w:rsidRPr="00DD79E1">
        <w:rPr>
          <w:rFonts w:ascii="Garamond" w:hAnsi="Garamond" w:cs="Times New Roman"/>
          <w:sz w:val="24"/>
          <w:szCs w:val="24"/>
        </w:rPr>
        <w:t xml:space="preserve"> yang diwakafkan setelah sempurna prosedur perwakafan.</w:t>
      </w:r>
      <w:proofErr w:type="gramEnd"/>
      <w:r w:rsidR="00316CEF" w:rsidRPr="00DD79E1">
        <w:rPr>
          <w:rFonts w:ascii="Garamond" w:hAnsi="Garamond" w:cs="Times New Roman"/>
          <w:sz w:val="24"/>
          <w:szCs w:val="24"/>
        </w:rPr>
        <w:t xml:space="preserve"> </w:t>
      </w:r>
      <w:proofErr w:type="gramStart"/>
      <w:r w:rsidR="008E1C9A" w:rsidRPr="00DD79E1">
        <w:rPr>
          <w:rFonts w:ascii="Garamond" w:hAnsi="Garamond" w:cs="Times New Roman"/>
          <w:sz w:val="24"/>
          <w:szCs w:val="24"/>
        </w:rPr>
        <w:t xml:space="preserve">Sementara wakfi </w:t>
      </w:r>
      <w:r w:rsidR="00316CEF" w:rsidRPr="00DD79E1">
        <w:rPr>
          <w:rFonts w:ascii="Garamond" w:hAnsi="Garamond" w:cs="Times New Roman"/>
          <w:sz w:val="24"/>
          <w:szCs w:val="24"/>
        </w:rPr>
        <w:t xml:space="preserve">tidak </w:t>
      </w:r>
      <w:r w:rsidR="008E1C9A" w:rsidRPr="00DD79E1">
        <w:rPr>
          <w:rFonts w:ascii="Garamond" w:hAnsi="Garamond" w:cs="Times New Roman"/>
          <w:sz w:val="24"/>
          <w:szCs w:val="24"/>
        </w:rPr>
        <w:t xml:space="preserve">diperbolehkan </w:t>
      </w:r>
      <w:r w:rsidR="00316CEF" w:rsidRPr="00DD79E1">
        <w:rPr>
          <w:rFonts w:ascii="Garamond" w:hAnsi="Garamond" w:cs="Times New Roman"/>
          <w:sz w:val="24"/>
          <w:szCs w:val="24"/>
        </w:rPr>
        <w:t xml:space="preserve">melakukan </w:t>
      </w:r>
      <w:r w:rsidR="008E1C9A" w:rsidRPr="00DD79E1">
        <w:rPr>
          <w:rFonts w:ascii="Garamond" w:hAnsi="Garamond" w:cs="Times New Roman"/>
          <w:sz w:val="24"/>
          <w:szCs w:val="24"/>
        </w:rPr>
        <w:t xml:space="preserve">sesuatu </w:t>
      </w:r>
      <w:r w:rsidR="00316CEF" w:rsidRPr="00DD79E1">
        <w:rPr>
          <w:rFonts w:ascii="Garamond" w:hAnsi="Garamond" w:cs="Times New Roman"/>
          <w:sz w:val="24"/>
          <w:szCs w:val="24"/>
        </w:rPr>
        <w:t>terhadap harta yang diwakafkan</w:t>
      </w:r>
      <w:r w:rsidR="008E1C9A" w:rsidRPr="00DD79E1">
        <w:rPr>
          <w:rFonts w:ascii="Garamond" w:hAnsi="Garamond" w:cs="Times New Roman"/>
          <w:sz w:val="24"/>
          <w:szCs w:val="24"/>
        </w:rPr>
        <w:t xml:space="preserve"> tersebut.</w:t>
      </w:r>
      <w:proofErr w:type="gramEnd"/>
      <w:r w:rsidR="008E1C9A" w:rsidRPr="00DD79E1">
        <w:rPr>
          <w:rFonts w:ascii="Garamond" w:hAnsi="Garamond" w:cs="Times New Roman"/>
          <w:sz w:val="24"/>
          <w:szCs w:val="24"/>
        </w:rPr>
        <w:t xml:space="preserve"> Maka dari itu, </w:t>
      </w:r>
      <w:r w:rsidR="00316CEF" w:rsidRPr="00DD79E1">
        <w:rPr>
          <w:rFonts w:ascii="Garamond" w:hAnsi="Garamond" w:cs="Times New Roman"/>
          <w:sz w:val="24"/>
          <w:szCs w:val="24"/>
        </w:rPr>
        <w:t>mazhab Syafii mendefinikan wakaf adalah: ‘Tidak melakukan suatu tindakan atas suatu benda, yang bersetatus sebagai milik Allah SWT, dengan menyedekahkan manfaatnya kepada suatu kebajikan (sosial)”.</w:t>
      </w:r>
      <w:r w:rsidR="00316CEF" w:rsidRPr="00DD79E1">
        <w:rPr>
          <w:rStyle w:val="FootnoteReference"/>
          <w:rFonts w:ascii="Garamond" w:hAnsi="Garamond" w:cs="Times New Roman"/>
          <w:sz w:val="24"/>
          <w:szCs w:val="24"/>
        </w:rPr>
        <w:footnoteReference w:id="28"/>
      </w:r>
      <w:r w:rsidR="00316CEF" w:rsidRPr="00DD79E1">
        <w:rPr>
          <w:rFonts w:ascii="Garamond" w:hAnsi="Garamond" w:cs="Times New Roman"/>
          <w:sz w:val="24"/>
          <w:szCs w:val="24"/>
        </w:rPr>
        <w:t xml:space="preserve"> </w:t>
      </w:r>
    </w:p>
    <w:p w:rsidR="008E1C9A" w:rsidRPr="00DD79E1" w:rsidRDefault="00316CEF" w:rsidP="00D81A50">
      <w:pPr>
        <w:pStyle w:val="ListParagraph"/>
        <w:spacing w:line="240" w:lineRule="auto"/>
        <w:ind w:left="0" w:firstLine="709"/>
        <w:jc w:val="both"/>
        <w:rPr>
          <w:rFonts w:ascii="Garamond" w:hAnsi="Garamond" w:cs="Times New Roman"/>
          <w:sz w:val="24"/>
          <w:szCs w:val="24"/>
        </w:rPr>
      </w:pPr>
      <w:r w:rsidRPr="00DD79E1">
        <w:rPr>
          <w:rFonts w:ascii="Garamond" w:hAnsi="Garamond" w:cs="Times New Roman"/>
          <w:sz w:val="24"/>
          <w:szCs w:val="24"/>
        </w:rPr>
        <w:t xml:space="preserve">Sedangkan </w:t>
      </w:r>
      <w:r w:rsidR="008E1C9A" w:rsidRPr="00DD79E1">
        <w:rPr>
          <w:rFonts w:ascii="Garamond" w:hAnsi="Garamond" w:cs="Times New Roman"/>
          <w:sz w:val="24"/>
          <w:szCs w:val="24"/>
        </w:rPr>
        <w:t xml:space="preserve">di Indonesia, </w:t>
      </w:r>
      <w:r w:rsidRPr="00DD79E1">
        <w:rPr>
          <w:rFonts w:ascii="Garamond" w:hAnsi="Garamond" w:cs="Times New Roman"/>
          <w:sz w:val="24"/>
          <w:szCs w:val="24"/>
        </w:rPr>
        <w:t xml:space="preserve">wakaf diatur </w:t>
      </w:r>
      <w:r w:rsidR="008E1C9A" w:rsidRPr="00DD79E1">
        <w:rPr>
          <w:rFonts w:ascii="Garamond" w:hAnsi="Garamond" w:cs="Times New Roman"/>
          <w:sz w:val="24"/>
          <w:szCs w:val="24"/>
        </w:rPr>
        <w:t xml:space="preserve">dengan </w:t>
      </w:r>
      <w:r w:rsidRPr="00DD79E1">
        <w:rPr>
          <w:rFonts w:ascii="Garamond" w:hAnsi="Garamond" w:cs="Times New Roman"/>
          <w:bCs/>
          <w:sz w:val="24"/>
          <w:szCs w:val="24"/>
        </w:rPr>
        <w:t>U</w:t>
      </w:r>
      <w:r w:rsidR="008E1C9A" w:rsidRPr="00DD79E1">
        <w:rPr>
          <w:rFonts w:ascii="Garamond" w:hAnsi="Garamond" w:cs="Times New Roman"/>
          <w:bCs/>
          <w:sz w:val="24"/>
          <w:szCs w:val="24"/>
        </w:rPr>
        <w:t xml:space="preserve">U No. 41 </w:t>
      </w:r>
      <w:proofErr w:type="gramStart"/>
      <w:r w:rsidRPr="00DD79E1">
        <w:rPr>
          <w:rFonts w:ascii="Garamond" w:hAnsi="Garamond" w:cs="Times New Roman"/>
          <w:bCs/>
          <w:sz w:val="24"/>
          <w:szCs w:val="24"/>
        </w:rPr>
        <w:t>Tahun  2004</w:t>
      </w:r>
      <w:proofErr w:type="gramEnd"/>
      <w:r w:rsidR="008E1C9A" w:rsidRPr="00DD79E1">
        <w:rPr>
          <w:rFonts w:ascii="Garamond" w:hAnsi="Garamond" w:cs="Times New Roman"/>
          <w:bCs/>
          <w:sz w:val="24"/>
          <w:szCs w:val="24"/>
        </w:rPr>
        <w:t xml:space="preserve"> tengang wakaf</w:t>
      </w:r>
      <w:r w:rsidRPr="00DD79E1">
        <w:rPr>
          <w:rFonts w:ascii="Garamond" w:hAnsi="Garamond" w:cs="Times New Roman"/>
          <w:bCs/>
          <w:sz w:val="24"/>
          <w:szCs w:val="24"/>
        </w:rPr>
        <w:t xml:space="preserve">. </w:t>
      </w:r>
      <w:proofErr w:type="gramStart"/>
      <w:r w:rsidR="008E1C9A" w:rsidRPr="00DD79E1">
        <w:rPr>
          <w:rFonts w:ascii="Garamond" w:hAnsi="Garamond" w:cs="Times New Roman"/>
          <w:bCs/>
          <w:sz w:val="24"/>
          <w:szCs w:val="24"/>
        </w:rPr>
        <w:t xml:space="preserve">Berdasarkan regulasi ini, </w:t>
      </w:r>
      <w:r w:rsidR="008E1C9A" w:rsidRPr="00DD79E1">
        <w:rPr>
          <w:rFonts w:ascii="Garamond" w:hAnsi="Garamond" w:cs="Times New Roman"/>
          <w:sz w:val="24"/>
          <w:szCs w:val="24"/>
        </w:rPr>
        <w:t xml:space="preserve">wakaf merupakan </w:t>
      </w:r>
      <w:r w:rsidRPr="00DD79E1">
        <w:rPr>
          <w:rFonts w:ascii="Garamond" w:hAnsi="Garamond" w:cs="Times New Roman"/>
          <w:sz w:val="24"/>
          <w:szCs w:val="24"/>
        </w:rPr>
        <w:t xml:space="preserve">perbuatan hukum </w:t>
      </w:r>
      <w:r w:rsidRPr="00DD79E1">
        <w:rPr>
          <w:rFonts w:ascii="Garamond" w:hAnsi="Garamond" w:cs="Times New Roman"/>
          <w:i/>
          <w:iCs/>
          <w:sz w:val="24"/>
          <w:szCs w:val="24"/>
        </w:rPr>
        <w:t>wakif</w:t>
      </w:r>
      <w:r w:rsidRPr="00DD79E1">
        <w:rPr>
          <w:rFonts w:ascii="Garamond" w:hAnsi="Garamond" w:cs="Times New Roman"/>
          <w:sz w:val="24"/>
          <w:szCs w:val="24"/>
        </w:rPr>
        <w:t xml:space="preserve"> untuk memisahkan dan</w:t>
      </w:r>
      <w:r w:rsidR="008E1C9A" w:rsidRPr="00DD79E1">
        <w:rPr>
          <w:rFonts w:ascii="Garamond" w:hAnsi="Garamond" w:cs="Times New Roman"/>
          <w:sz w:val="24"/>
          <w:szCs w:val="24"/>
        </w:rPr>
        <w:t xml:space="preserve"> </w:t>
      </w:r>
      <w:r w:rsidRPr="00DD79E1">
        <w:rPr>
          <w:rFonts w:ascii="Garamond" w:hAnsi="Garamond" w:cs="Times New Roman"/>
          <w:sz w:val="24"/>
          <w:szCs w:val="24"/>
        </w:rPr>
        <w:t>atau menyerahkan sebagian harta benda miliknya untuk dimanfaatkan selamanya atau untuk jangka waktu tertentu sesuai dengan kepentingannya guna keperluan ibadah dan/atau kesejahteraan umum menurut syariah.</w:t>
      </w:r>
      <w:proofErr w:type="gramEnd"/>
      <w:r w:rsidRPr="00DD79E1">
        <w:rPr>
          <w:rStyle w:val="FootnoteReference"/>
          <w:rFonts w:ascii="Garamond" w:hAnsi="Garamond" w:cs="Times New Roman"/>
          <w:sz w:val="24"/>
          <w:szCs w:val="24"/>
        </w:rPr>
        <w:footnoteReference w:id="29"/>
      </w:r>
      <w:r w:rsidR="00C2300E" w:rsidRPr="00DD79E1">
        <w:rPr>
          <w:rFonts w:ascii="Garamond" w:hAnsi="Garamond" w:cs="Times New Roman"/>
          <w:sz w:val="24"/>
          <w:szCs w:val="24"/>
        </w:rPr>
        <w:t xml:space="preserve"> </w:t>
      </w:r>
      <w:r w:rsidRPr="00DD79E1">
        <w:rPr>
          <w:rFonts w:ascii="Garamond" w:hAnsi="Garamond" w:cs="Times New Roman"/>
          <w:sz w:val="24"/>
          <w:szCs w:val="24"/>
        </w:rPr>
        <w:t xml:space="preserve">Peruntukan benda wakaf tidak semata-mata untuk kepentingan sarana ibadah dan sosial, melainkan diarahkan pula untuk memajukan kesejahteraan umum dengan </w:t>
      </w:r>
      <w:proofErr w:type="gramStart"/>
      <w:r w:rsidRPr="00DD79E1">
        <w:rPr>
          <w:rFonts w:ascii="Garamond" w:hAnsi="Garamond" w:cs="Times New Roman"/>
          <w:sz w:val="24"/>
          <w:szCs w:val="24"/>
        </w:rPr>
        <w:t>cara</w:t>
      </w:r>
      <w:proofErr w:type="gramEnd"/>
      <w:r w:rsidRPr="00DD79E1">
        <w:rPr>
          <w:rFonts w:ascii="Garamond" w:hAnsi="Garamond" w:cs="Times New Roman"/>
          <w:sz w:val="24"/>
          <w:szCs w:val="24"/>
        </w:rPr>
        <w:t xml:space="preserve"> meningkatkan potensi dan manfaat ekonomi benda wakaf. </w:t>
      </w:r>
    </w:p>
    <w:p w:rsidR="00A306C9" w:rsidRPr="00DD79E1" w:rsidRDefault="00A306C9" w:rsidP="00D81A50">
      <w:pPr>
        <w:pStyle w:val="ListParagraph"/>
        <w:spacing w:line="240" w:lineRule="auto"/>
        <w:ind w:left="0" w:firstLine="709"/>
        <w:jc w:val="both"/>
        <w:rPr>
          <w:rFonts w:ascii="Garamond" w:hAnsi="Garamond" w:cs="Times New Roman"/>
          <w:sz w:val="24"/>
          <w:szCs w:val="24"/>
        </w:rPr>
      </w:pPr>
      <w:r w:rsidRPr="00DD79E1">
        <w:rPr>
          <w:rFonts w:ascii="Garamond" w:hAnsi="Garamond" w:cs="Arial"/>
          <w:bCs/>
          <w:sz w:val="24"/>
          <w:szCs w:val="24"/>
          <w:shd w:val="clear" w:color="auto" w:fill="FFFFFF"/>
        </w:rPr>
        <w:t>Badan Wakaf Indonesia atau BWI merupakan otoritas wakaf memberikan bimbingan dan pengawasan kepada</w:t>
      </w:r>
      <w:r w:rsidRPr="00DD79E1">
        <w:rPr>
          <w:rFonts w:ascii="Garamond" w:hAnsi="Garamond" w:cs="Arial"/>
          <w:sz w:val="24"/>
          <w:szCs w:val="24"/>
          <w:shd w:val="clear" w:color="auto" w:fill="FFFFFF"/>
        </w:rPr>
        <w:t xml:space="preserve"> nazhir </w:t>
      </w:r>
      <w:r w:rsidRPr="00DD79E1">
        <w:rPr>
          <w:rFonts w:ascii="Garamond" w:hAnsi="Garamond" w:cs="Arial"/>
          <w:bCs/>
          <w:sz w:val="24"/>
          <w:szCs w:val="24"/>
          <w:shd w:val="clear" w:color="auto" w:fill="FFFFFF"/>
        </w:rPr>
        <w:t xml:space="preserve">dalam pengelolaan dan pengembangan harta wakaf secara internasional, menyetujui </w:t>
      </w:r>
      <w:proofErr w:type="gramStart"/>
      <w:r w:rsidRPr="00DD79E1">
        <w:rPr>
          <w:rFonts w:ascii="Garamond" w:hAnsi="Garamond" w:cs="Arial"/>
          <w:bCs/>
          <w:sz w:val="24"/>
          <w:szCs w:val="24"/>
          <w:shd w:val="clear" w:color="auto" w:fill="FFFFFF"/>
        </w:rPr>
        <w:t>nama</w:t>
      </w:r>
      <w:proofErr w:type="gramEnd"/>
      <w:r w:rsidRPr="00DD79E1">
        <w:rPr>
          <w:rFonts w:ascii="Garamond" w:hAnsi="Garamond" w:cs="Arial"/>
          <w:bCs/>
          <w:sz w:val="24"/>
          <w:szCs w:val="24"/>
          <w:shd w:val="clear" w:color="auto" w:fill="FFFFFF"/>
        </w:rPr>
        <w:t xml:space="preserve"> dan</w:t>
      </w:r>
      <w:r w:rsidRPr="00DD79E1">
        <w:rPr>
          <w:rFonts w:ascii="Garamond" w:hAnsi="Garamond" w:cs="Arial"/>
          <w:sz w:val="24"/>
          <w:szCs w:val="24"/>
          <w:shd w:val="clear" w:color="auto" w:fill="FFFFFF"/>
        </w:rPr>
        <w:t xml:space="preserve"> status </w:t>
      </w:r>
      <w:r w:rsidRPr="00DD79E1">
        <w:rPr>
          <w:rFonts w:ascii="Garamond" w:hAnsi="Garamond" w:cs="Arial"/>
          <w:bCs/>
          <w:sz w:val="24"/>
          <w:szCs w:val="24"/>
          <w:shd w:val="clear" w:color="auto" w:fill="FFFFFF"/>
        </w:rPr>
        <w:t xml:space="preserve">harta wakaf, serta memberikan nasihat dan pertimbangan. </w:t>
      </w:r>
      <w:proofErr w:type="gramStart"/>
      <w:r w:rsidRPr="00DD79E1">
        <w:rPr>
          <w:rFonts w:ascii="Garamond" w:hAnsi="Garamond" w:cs="Arial"/>
          <w:bCs/>
          <w:sz w:val="24"/>
          <w:szCs w:val="24"/>
          <w:shd w:val="clear" w:color="auto" w:fill="FFFFFF"/>
        </w:rPr>
        <w:t>pemerintah</w:t>
      </w:r>
      <w:proofErr w:type="gramEnd"/>
      <w:r w:rsidRPr="00DD79E1">
        <w:rPr>
          <w:rFonts w:ascii="Garamond" w:hAnsi="Garamond" w:cs="Arial"/>
          <w:bCs/>
          <w:sz w:val="24"/>
          <w:szCs w:val="24"/>
          <w:shd w:val="clear" w:color="auto" w:fill="FFFFFF"/>
        </w:rPr>
        <w:t xml:space="preserve"> dalam merumuskan kebijakan di bidang wakaf. </w:t>
      </w:r>
      <w:proofErr w:type="gramStart"/>
      <w:r w:rsidRPr="00DD79E1">
        <w:rPr>
          <w:rFonts w:ascii="Garamond" w:hAnsi="Garamond" w:cs="Arial"/>
          <w:bCs/>
          <w:sz w:val="24"/>
          <w:szCs w:val="24"/>
          <w:shd w:val="clear" w:color="auto" w:fill="FFFFFF"/>
        </w:rPr>
        <w:t>Perlunya BWI bermula dari kenyataan bahwa wakaf benar-benar ada dan tumbuh di masyarakat, sehingga harus ada lembaga masyarakat tanpa campur tangan pemerintah yang dapat membina dan memantau pelaksanaan wakaf.</w:t>
      </w:r>
      <w:proofErr w:type="gramEnd"/>
      <w:r w:rsidRPr="00DD79E1">
        <w:rPr>
          <w:rFonts w:ascii="Garamond" w:hAnsi="Garamond" w:cs="Arial"/>
          <w:bCs/>
          <w:sz w:val="24"/>
          <w:szCs w:val="24"/>
          <w:shd w:val="clear" w:color="auto" w:fill="FFFFFF"/>
        </w:rPr>
        <w:t xml:space="preserve"> Undang-undang wakaf di Indonesia </w:t>
      </w:r>
    </w:p>
    <w:p w:rsidR="00316CEF" w:rsidRPr="00DD79E1" w:rsidRDefault="00316CEF" w:rsidP="00C2300E">
      <w:pPr>
        <w:widowControl w:val="0"/>
        <w:autoSpaceDE w:val="0"/>
        <w:autoSpaceDN w:val="0"/>
        <w:adjustRightInd w:val="0"/>
        <w:spacing w:after="0" w:line="240" w:lineRule="auto"/>
        <w:ind w:right="141"/>
        <w:jc w:val="both"/>
        <w:rPr>
          <w:rFonts w:ascii="Garamond" w:hAnsi="Garamond" w:cs="Times New Roman"/>
          <w:b/>
          <w:bCs/>
          <w:sz w:val="24"/>
          <w:szCs w:val="24"/>
        </w:rPr>
      </w:pPr>
      <w:r w:rsidRPr="00DD79E1">
        <w:rPr>
          <w:rFonts w:ascii="Garamond" w:hAnsi="Garamond" w:cs="Times New Roman"/>
          <w:b/>
          <w:bCs/>
          <w:sz w:val="24"/>
          <w:szCs w:val="24"/>
        </w:rPr>
        <w:t>Problematika Perwakafan di Provinsi Lampung dan Sumatera Selatan</w:t>
      </w:r>
    </w:p>
    <w:p w:rsidR="007054FE" w:rsidRPr="00DD79E1" w:rsidRDefault="00316CEF" w:rsidP="00D81A50">
      <w:pPr>
        <w:autoSpaceDE w:val="0"/>
        <w:autoSpaceDN w:val="0"/>
        <w:adjustRightInd w:val="0"/>
        <w:spacing w:after="0" w:line="240" w:lineRule="auto"/>
        <w:ind w:firstLine="709"/>
        <w:jc w:val="both"/>
        <w:rPr>
          <w:rStyle w:val="ListParagraphChar"/>
          <w:rFonts w:ascii="Garamond" w:hAnsi="Garamond" w:cs="Times New Roman"/>
          <w:sz w:val="24"/>
          <w:szCs w:val="24"/>
        </w:rPr>
      </w:pPr>
      <w:proofErr w:type="gramStart"/>
      <w:r w:rsidRPr="00DD79E1">
        <w:rPr>
          <w:rFonts w:ascii="Garamond" w:hAnsi="Garamond" w:cs="Times New Roman"/>
          <w:sz w:val="24"/>
          <w:szCs w:val="24"/>
        </w:rPr>
        <w:t>BWI Provinsi Lampung merupakan lembaga yang berwenang dalam memajukan wakaf yang dapat memberikan kesejahteraan rakyat.</w:t>
      </w:r>
      <w:proofErr w:type="gramEnd"/>
      <w:r w:rsidRPr="00DD79E1">
        <w:rPr>
          <w:rStyle w:val="FootnoteReference"/>
          <w:rFonts w:ascii="Garamond" w:hAnsi="Garamond" w:cs="Times New Roman"/>
          <w:spacing w:val="-57"/>
          <w:sz w:val="24"/>
          <w:szCs w:val="24"/>
        </w:rPr>
        <w:footnoteReference w:id="30"/>
      </w:r>
      <w:r w:rsidR="00A306C9" w:rsidRPr="00DD79E1">
        <w:rPr>
          <w:rFonts w:ascii="Garamond" w:hAnsi="Garamond" w:cs="Times New Roman"/>
          <w:sz w:val="24"/>
          <w:szCs w:val="24"/>
        </w:rPr>
        <w:t xml:space="preserve"> </w:t>
      </w:r>
      <w:proofErr w:type="gramStart"/>
      <w:r w:rsidR="00A306C9" w:rsidRPr="00DD79E1">
        <w:rPr>
          <w:rFonts w:ascii="Garamond" w:hAnsi="Garamond" w:cs="Times New Roman"/>
          <w:sz w:val="24"/>
          <w:szCs w:val="24"/>
        </w:rPr>
        <w:t xml:space="preserve">BWI </w:t>
      </w:r>
      <w:r w:rsidR="00A306C9" w:rsidRPr="00DD79E1">
        <w:rPr>
          <w:rFonts w:ascii="Garamond" w:hAnsi="Garamond" w:cs="Times New Roman"/>
          <w:sz w:val="24"/>
          <w:szCs w:val="24"/>
        </w:rPr>
        <w:lastRenderedPageBreak/>
        <w:t xml:space="preserve">Lampung telah mengelola </w:t>
      </w:r>
      <w:r w:rsidR="00A306C9" w:rsidRPr="00DD79E1">
        <w:rPr>
          <w:rStyle w:val="BodyTextChar"/>
          <w:rFonts w:ascii="Garamond" w:eastAsiaTheme="minorEastAsia" w:hAnsi="Garamond"/>
        </w:rPr>
        <w:t>wakaf uang sekitar</w:t>
      </w:r>
      <w:r w:rsidRPr="00DD79E1">
        <w:rPr>
          <w:rFonts w:ascii="Garamond" w:hAnsi="Garamond" w:cs="Times New Roman"/>
          <w:sz w:val="24"/>
          <w:szCs w:val="24"/>
          <w:lang w:val="id-ID"/>
        </w:rPr>
        <w:t xml:space="preserve"> Rp. 275,000,000.</w:t>
      </w:r>
      <w:proofErr w:type="gramEnd"/>
      <w:r w:rsidRPr="00DD79E1">
        <w:rPr>
          <w:rStyle w:val="FootnoteReference"/>
          <w:rFonts w:ascii="Garamond" w:hAnsi="Garamond" w:cs="Times New Roman"/>
          <w:sz w:val="24"/>
          <w:szCs w:val="24"/>
        </w:rPr>
        <w:footnoteReference w:id="31"/>
      </w:r>
      <w:r w:rsidR="00A306C9" w:rsidRPr="00DD79E1">
        <w:rPr>
          <w:rFonts w:ascii="Garamond" w:hAnsi="Garamond" w:cs="Times New Roman"/>
          <w:sz w:val="24"/>
          <w:szCs w:val="24"/>
        </w:rPr>
        <w:t xml:space="preserve"> </w:t>
      </w:r>
      <w:proofErr w:type="gramStart"/>
      <w:r w:rsidR="00A306C9" w:rsidRPr="00DD79E1">
        <w:rPr>
          <w:rFonts w:ascii="Garamond" w:hAnsi="Garamond" w:cs="Times New Roman"/>
          <w:sz w:val="24"/>
          <w:szCs w:val="24"/>
        </w:rPr>
        <w:t>U</w:t>
      </w:r>
      <w:r w:rsidRPr="00DD79E1">
        <w:rPr>
          <w:rFonts w:ascii="Garamond" w:hAnsi="Garamond" w:cs="Times New Roman"/>
          <w:sz w:val="24"/>
          <w:szCs w:val="24"/>
          <w:lang w:val="id-ID"/>
        </w:rPr>
        <w:t xml:space="preserve">ntuk wakaf tanah tersebar di 14.165 titik dengan jumlah luas keseluruhan 5.877,92 hektar belum diproduktifkan </w:t>
      </w:r>
      <w:r w:rsidR="007054FE" w:rsidRPr="00DD79E1">
        <w:rPr>
          <w:rFonts w:ascii="Garamond" w:hAnsi="Garamond" w:cs="Times New Roman"/>
          <w:sz w:val="24"/>
          <w:szCs w:val="24"/>
        </w:rPr>
        <w:t xml:space="preserve">karena belum memadainya </w:t>
      </w:r>
      <w:r w:rsidRPr="00DD79E1">
        <w:rPr>
          <w:rFonts w:ascii="Garamond" w:hAnsi="Garamond" w:cs="Times New Roman"/>
          <w:sz w:val="24"/>
          <w:szCs w:val="24"/>
          <w:lang w:val="id-ID"/>
        </w:rPr>
        <w:t xml:space="preserve">SDM para </w:t>
      </w:r>
      <w:r w:rsidRPr="00DD79E1">
        <w:rPr>
          <w:rFonts w:ascii="Garamond" w:hAnsi="Garamond" w:cs="Times New Roman"/>
          <w:i/>
          <w:sz w:val="24"/>
          <w:szCs w:val="24"/>
          <w:lang w:val="id-ID"/>
        </w:rPr>
        <w:t>nazhir</w:t>
      </w:r>
      <w:r w:rsidRPr="00DD79E1">
        <w:rPr>
          <w:rFonts w:ascii="Garamond" w:hAnsi="Garamond" w:cs="Times New Roman"/>
          <w:sz w:val="24"/>
          <w:szCs w:val="24"/>
          <w:lang w:val="id-ID"/>
        </w:rPr>
        <w:t>.</w:t>
      </w:r>
      <w:proofErr w:type="gramEnd"/>
      <w:r w:rsidRPr="00DD79E1">
        <w:rPr>
          <w:rFonts w:ascii="Garamond" w:hAnsi="Garamond" w:cs="Times New Roman"/>
          <w:sz w:val="24"/>
          <w:szCs w:val="24"/>
          <w:lang w:val="id-ID"/>
        </w:rPr>
        <w:t xml:space="preserve"> Wakaf tanah umumnya hanya digunakan untuk pembangunan masjid, musholla, sekolah, dan kuburan.</w:t>
      </w:r>
      <w:r w:rsidRPr="00DD79E1">
        <w:rPr>
          <w:rStyle w:val="FootnoteReference"/>
          <w:rFonts w:ascii="Garamond" w:hAnsi="Garamond" w:cs="Times New Roman"/>
          <w:sz w:val="24"/>
          <w:szCs w:val="24"/>
        </w:rPr>
        <w:footnoteReference w:id="32"/>
      </w:r>
      <w:r w:rsidR="007054FE"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Sedangkan </w:t>
      </w:r>
      <w:r w:rsidR="007054FE" w:rsidRPr="00DD79E1">
        <w:rPr>
          <w:rFonts w:ascii="Garamond" w:hAnsi="Garamond" w:cs="Times New Roman"/>
          <w:sz w:val="24"/>
          <w:szCs w:val="24"/>
        </w:rPr>
        <w:t>BWI Sumatera Selatan juga</w:t>
      </w:r>
      <w:r w:rsidRPr="00DD79E1">
        <w:rPr>
          <w:rFonts w:ascii="Garamond" w:hAnsi="Garamond" w:cs="Times New Roman"/>
          <w:sz w:val="24"/>
          <w:szCs w:val="24"/>
        </w:rPr>
        <w:t xml:space="preserve"> </w:t>
      </w:r>
      <w:r w:rsidRPr="00DD79E1">
        <w:rPr>
          <w:rFonts w:ascii="Garamond" w:hAnsi="Garamond" w:cs="Times New Roman"/>
          <w:sz w:val="24"/>
          <w:szCs w:val="24"/>
          <w:lang w:val="id-ID"/>
        </w:rPr>
        <w:t>mempunyai</w:t>
      </w:r>
      <w:r w:rsidRPr="00DD79E1">
        <w:rPr>
          <w:rFonts w:ascii="Garamond" w:hAnsi="Garamond" w:cs="Times New Roman"/>
          <w:spacing w:val="1"/>
          <w:sz w:val="24"/>
          <w:szCs w:val="24"/>
          <w:lang w:val="id-ID"/>
        </w:rPr>
        <w:t xml:space="preserve"> </w:t>
      </w:r>
      <w:r w:rsidRPr="00DD79E1">
        <w:rPr>
          <w:rFonts w:ascii="Garamond" w:hAnsi="Garamond" w:cs="Times New Roman"/>
          <w:sz w:val="24"/>
          <w:szCs w:val="24"/>
          <w:lang w:val="id-ID"/>
        </w:rPr>
        <w:t>yang</w:t>
      </w:r>
      <w:r w:rsidRPr="00DD79E1">
        <w:rPr>
          <w:rFonts w:ascii="Garamond" w:hAnsi="Garamond" w:cs="Times New Roman"/>
          <w:spacing w:val="1"/>
          <w:sz w:val="24"/>
          <w:szCs w:val="24"/>
          <w:lang w:val="id-ID"/>
        </w:rPr>
        <w:t xml:space="preserve"> </w:t>
      </w:r>
      <w:r w:rsidRPr="00DD79E1">
        <w:rPr>
          <w:rFonts w:ascii="Garamond" w:hAnsi="Garamond" w:cs="Times New Roman"/>
          <w:sz w:val="24"/>
          <w:szCs w:val="24"/>
          <w:lang w:val="id-ID"/>
        </w:rPr>
        <w:t>fungsi</w:t>
      </w:r>
      <w:r w:rsidRPr="00DD79E1">
        <w:rPr>
          <w:rFonts w:ascii="Garamond" w:hAnsi="Garamond" w:cs="Times New Roman"/>
          <w:spacing w:val="1"/>
          <w:sz w:val="24"/>
          <w:szCs w:val="24"/>
          <w:lang w:val="id-ID"/>
        </w:rPr>
        <w:t xml:space="preserve"> </w:t>
      </w:r>
      <w:r w:rsidRPr="00DD79E1">
        <w:rPr>
          <w:rFonts w:ascii="Garamond" w:hAnsi="Garamond" w:cs="Times New Roman"/>
          <w:sz w:val="24"/>
          <w:szCs w:val="24"/>
          <w:lang w:val="id-ID"/>
        </w:rPr>
        <w:t>strategis</w:t>
      </w:r>
      <w:r w:rsidRPr="00DD79E1">
        <w:rPr>
          <w:rFonts w:ascii="Garamond" w:hAnsi="Garamond" w:cs="Times New Roman"/>
          <w:spacing w:val="61"/>
          <w:sz w:val="24"/>
          <w:szCs w:val="24"/>
          <w:lang w:val="id-ID"/>
        </w:rPr>
        <w:t xml:space="preserve"> </w:t>
      </w:r>
      <w:r w:rsidRPr="00DD79E1">
        <w:rPr>
          <w:rFonts w:ascii="Garamond" w:hAnsi="Garamond" w:cs="Times New Roman"/>
          <w:sz w:val="24"/>
          <w:szCs w:val="24"/>
          <w:lang w:val="id-ID"/>
        </w:rPr>
        <w:t>dalam</w:t>
      </w:r>
      <w:r w:rsidRPr="00DD79E1">
        <w:rPr>
          <w:rFonts w:ascii="Garamond" w:hAnsi="Garamond" w:cs="Times New Roman"/>
          <w:spacing w:val="1"/>
          <w:sz w:val="24"/>
          <w:szCs w:val="24"/>
          <w:lang w:val="id-ID"/>
        </w:rPr>
        <w:t xml:space="preserve"> </w:t>
      </w:r>
      <w:r w:rsidRPr="00DD79E1">
        <w:rPr>
          <w:rFonts w:ascii="Garamond" w:hAnsi="Garamond" w:cs="Times New Roman"/>
          <w:sz w:val="24"/>
          <w:szCs w:val="24"/>
          <w:lang w:val="id-ID"/>
        </w:rPr>
        <w:t>membantu pengelolaan wakaf secara lebih produktif.</w:t>
      </w:r>
      <w:proofErr w:type="gramEnd"/>
      <w:r w:rsidRPr="00DD79E1">
        <w:rPr>
          <w:rStyle w:val="FootnoteReference"/>
          <w:rFonts w:ascii="Garamond" w:hAnsi="Garamond" w:cs="Times New Roman"/>
          <w:sz w:val="24"/>
          <w:szCs w:val="24"/>
        </w:rPr>
        <w:footnoteReference w:id="33"/>
      </w:r>
      <w:r w:rsidRPr="00DD79E1">
        <w:rPr>
          <w:rFonts w:ascii="Garamond" w:hAnsi="Garamond" w:cs="Times New Roman"/>
          <w:sz w:val="24"/>
          <w:szCs w:val="24"/>
        </w:rPr>
        <w:t xml:space="preserve"> </w:t>
      </w:r>
      <w:r w:rsidRPr="00DD79E1">
        <w:rPr>
          <w:rFonts w:ascii="Garamond" w:hAnsi="Garamond" w:cs="Times New Roman"/>
          <w:sz w:val="24"/>
          <w:szCs w:val="24"/>
          <w:lang w:val="id-ID"/>
        </w:rPr>
        <w:t>Namun</w:t>
      </w:r>
      <w:r w:rsidR="007054FE" w:rsidRPr="00DD79E1">
        <w:rPr>
          <w:rFonts w:ascii="Garamond" w:hAnsi="Garamond" w:cs="Times New Roman"/>
          <w:spacing w:val="1"/>
          <w:sz w:val="24"/>
          <w:szCs w:val="24"/>
        </w:rPr>
        <w:t xml:space="preserve">, </w:t>
      </w:r>
      <w:r w:rsidRPr="00DD79E1">
        <w:rPr>
          <w:rFonts w:ascii="Garamond" w:hAnsi="Garamond" w:cs="Times New Roman"/>
          <w:sz w:val="24"/>
          <w:szCs w:val="24"/>
          <w:lang w:val="id-ID"/>
        </w:rPr>
        <w:t xml:space="preserve">wakaf yang dikelola oleh </w:t>
      </w:r>
      <w:r w:rsidRPr="00DD79E1">
        <w:rPr>
          <w:rFonts w:ascii="Garamond" w:hAnsi="Garamond" w:cs="Times New Roman"/>
          <w:sz w:val="24"/>
          <w:szCs w:val="24"/>
        </w:rPr>
        <w:t xml:space="preserve">BWI </w:t>
      </w:r>
      <w:r w:rsidRPr="00DD79E1">
        <w:rPr>
          <w:rFonts w:ascii="Garamond" w:hAnsi="Garamond" w:cs="Times New Roman"/>
          <w:sz w:val="24"/>
          <w:szCs w:val="24"/>
          <w:lang w:val="id-ID"/>
        </w:rPr>
        <w:t>Sum</w:t>
      </w:r>
      <w:r w:rsidR="007054FE" w:rsidRPr="00DD79E1">
        <w:rPr>
          <w:rFonts w:ascii="Garamond" w:hAnsi="Garamond" w:cs="Times New Roman"/>
          <w:sz w:val="24"/>
          <w:szCs w:val="24"/>
        </w:rPr>
        <w:t xml:space="preserve">sel </w:t>
      </w:r>
      <w:r w:rsidRPr="00DD79E1">
        <w:rPr>
          <w:rFonts w:ascii="Garamond" w:hAnsi="Garamond" w:cs="Times New Roman"/>
          <w:sz w:val="24"/>
          <w:szCs w:val="24"/>
          <w:lang w:val="id-ID"/>
        </w:rPr>
        <w:t>masih</w:t>
      </w:r>
      <w:r w:rsidRPr="00DD79E1">
        <w:rPr>
          <w:rFonts w:ascii="Garamond" w:hAnsi="Garamond" w:cs="Times New Roman"/>
          <w:spacing w:val="1"/>
          <w:sz w:val="24"/>
          <w:szCs w:val="24"/>
          <w:lang w:val="id-ID"/>
        </w:rPr>
        <w:t xml:space="preserve"> </w:t>
      </w:r>
      <w:r w:rsidRPr="00DD79E1">
        <w:rPr>
          <w:rFonts w:ascii="Garamond" w:hAnsi="Garamond" w:cs="Times New Roman"/>
          <w:sz w:val="24"/>
          <w:szCs w:val="24"/>
          <w:lang w:val="id-ID"/>
        </w:rPr>
        <w:t>mencakup benda tidak bergerak</w:t>
      </w:r>
      <w:r w:rsidR="007054FE" w:rsidRPr="00DD79E1">
        <w:rPr>
          <w:rFonts w:ascii="Garamond" w:hAnsi="Garamond" w:cs="Times New Roman"/>
          <w:sz w:val="24"/>
          <w:szCs w:val="24"/>
        </w:rPr>
        <w:t xml:space="preserve">. </w:t>
      </w:r>
      <w:proofErr w:type="gramStart"/>
      <w:r w:rsidR="007054FE" w:rsidRPr="00DD79E1">
        <w:rPr>
          <w:rFonts w:ascii="Garamond" w:hAnsi="Garamond" w:cs="Times New Roman"/>
          <w:sz w:val="24"/>
          <w:szCs w:val="24"/>
        </w:rPr>
        <w:t xml:space="preserve">Sementara wakaf dalam bentuk </w:t>
      </w:r>
      <w:r w:rsidRPr="00DD79E1">
        <w:rPr>
          <w:rFonts w:ascii="Garamond" w:hAnsi="Garamond" w:cs="Times New Roman"/>
          <w:sz w:val="24"/>
          <w:szCs w:val="24"/>
          <w:lang w:val="id-ID"/>
        </w:rPr>
        <w:t xml:space="preserve">benda bergerak </w:t>
      </w:r>
      <w:r w:rsidR="007054FE" w:rsidRPr="00DD79E1">
        <w:rPr>
          <w:rFonts w:ascii="Garamond" w:hAnsi="Garamond" w:cs="Times New Roman"/>
          <w:sz w:val="24"/>
          <w:szCs w:val="24"/>
        </w:rPr>
        <w:t>belum banyak dikelola</w:t>
      </w:r>
      <w:r w:rsidRPr="00DD79E1">
        <w:rPr>
          <w:rFonts w:ascii="Garamond" w:hAnsi="Garamond" w:cs="Times New Roman"/>
          <w:sz w:val="24"/>
          <w:szCs w:val="24"/>
          <w:lang w:val="id-ID"/>
        </w:rPr>
        <w:t>.</w:t>
      </w:r>
      <w:proofErr w:type="gramEnd"/>
      <w:r w:rsidRPr="00DD79E1">
        <w:rPr>
          <w:rStyle w:val="FootnoteReference"/>
          <w:rFonts w:ascii="Garamond" w:hAnsi="Garamond" w:cs="Times New Roman"/>
          <w:sz w:val="24"/>
          <w:szCs w:val="24"/>
        </w:rPr>
        <w:footnoteReference w:id="34"/>
      </w:r>
      <w:r w:rsidR="007054FE"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Namun, dalam perjalanannya, </w:t>
      </w:r>
      <w:r w:rsidRPr="00DD79E1">
        <w:rPr>
          <w:rStyle w:val="ListParagraphChar"/>
          <w:rFonts w:ascii="Garamond" w:hAnsi="Garamond" w:cs="Times New Roman"/>
          <w:sz w:val="24"/>
          <w:szCs w:val="24"/>
        </w:rPr>
        <w:t>Pengelolaan wakaf di Provinsi Lampung dan Sumatera Selatan menghadapi sejumlah problem.</w:t>
      </w:r>
      <w:proofErr w:type="gramEnd"/>
      <w:r w:rsidRPr="00DD79E1">
        <w:rPr>
          <w:rStyle w:val="ListParagraphChar"/>
          <w:rFonts w:ascii="Garamond" w:hAnsi="Garamond" w:cs="Times New Roman"/>
          <w:sz w:val="24"/>
          <w:szCs w:val="24"/>
        </w:rPr>
        <w:t xml:space="preserve"> </w:t>
      </w:r>
      <w:proofErr w:type="gramStart"/>
      <w:r w:rsidRPr="00DD79E1">
        <w:rPr>
          <w:rStyle w:val="ListParagraphChar"/>
          <w:rFonts w:ascii="Garamond" w:hAnsi="Garamond" w:cs="Times New Roman"/>
          <w:sz w:val="24"/>
          <w:szCs w:val="24"/>
        </w:rPr>
        <w:t>Baik wakaf tanah maupun wakaf secara produktif.</w:t>
      </w:r>
      <w:proofErr w:type="gramEnd"/>
      <w:r w:rsidRPr="00DD79E1">
        <w:rPr>
          <w:rStyle w:val="ListParagraphChar"/>
          <w:rFonts w:ascii="Garamond" w:hAnsi="Garamond" w:cs="Times New Roman"/>
          <w:sz w:val="24"/>
          <w:szCs w:val="24"/>
        </w:rPr>
        <w:t xml:space="preserve"> </w:t>
      </w:r>
      <w:proofErr w:type="gramStart"/>
      <w:r w:rsidRPr="00DD79E1">
        <w:rPr>
          <w:rStyle w:val="ListParagraphChar"/>
          <w:rFonts w:ascii="Garamond" w:hAnsi="Garamond" w:cs="Times New Roman"/>
          <w:sz w:val="24"/>
          <w:szCs w:val="24"/>
        </w:rPr>
        <w:t xml:space="preserve">Akibat kendala tersebut </w:t>
      </w:r>
      <w:r w:rsidR="007054FE" w:rsidRPr="00DD79E1">
        <w:rPr>
          <w:rStyle w:val="ListParagraphChar"/>
          <w:rFonts w:ascii="Garamond" w:hAnsi="Garamond" w:cs="Times New Roman"/>
          <w:sz w:val="24"/>
          <w:szCs w:val="24"/>
        </w:rPr>
        <w:t xml:space="preserve">membuat </w:t>
      </w:r>
      <w:r w:rsidRPr="00DD79E1">
        <w:rPr>
          <w:rStyle w:val="ListParagraphChar"/>
          <w:rFonts w:ascii="Garamond" w:hAnsi="Garamond" w:cs="Times New Roman"/>
          <w:sz w:val="24"/>
          <w:szCs w:val="24"/>
        </w:rPr>
        <w:t>wakaf belum dapat</w:t>
      </w:r>
      <w:r w:rsidR="007054FE" w:rsidRPr="00DD79E1">
        <w:rPr>
          <w:rStyle w:val="ListParagraphChar"/>
          <w:rFonts w:ascii="Garamond" w:hAnsi="Garamond" w:cs="Times New Roman"/>
          <w:sz w:val="24"/>
          <w:szCs w:val="24"/>
        </w:rPr>
        <w:t xml:space="preserve"> dirasakan manfaatnya dalam rangka memberdayakan ekonomi umat</w:t>
      </w:r>
      <w:r w:rsidRPr="00DD79E1">
        <w:rPr>
          <w:rStyle w:val="ListParagraphChar"/>
          <w:rFonts w:ascii="Garamond" w:hAnsi="Garamond" w:cs="Times New Roman"/>
          <w:sz w:val="24"/>
          <w:szCs w:val="24"/>
        </w:rPr>
        <w:t>.</w:t>
      </w:r>
      <w:proofErr w:type="gramEnd"/>
    </w:p>
    <w:p w:rsidR="00F113C5" w:rsidRPr="00DD79E1" w:rsidRDefault="00316CEF" w:rsidP="00D81A50">
      <w:pPr>
        <w:autoSpaceDE w:val="0"/>
        <w:autoSpaceDN w:val="0"/>
        <w:adjustRightInd w:val="0"/>
        <w:spacing w:after="0" w:line="240" w:lineRule="auto"/>
        <w:ind w:firstLine="709"/>
        <w:jc w:val="both"/>
        <w:rPr>
          <w:rFonts w:ascii="Garamond" w:hAnsi="Garamond" w:cs="Times New Roman"/>
          <w:sz w:val="24"/>
          <w:szCs w:val="24"/>
        </w:rPr>
      </w:pPr>
      <w:r w:rsidRPr="00DD79E1">
        <w:rPr>
          <w:rFonts w:ascii="Garamond" w:eastAsia="Times New Roman" w:hAnsi="Garamond" w:cs="Times New Roman"/>
          <w:w w:val="95"/>
          <w:sz w:val="24"/>
          <w:szCs w:val="24"/>
        </w:rPr>
        <w:t xml:space="preserve">Problematika perwakafan </w:t>
      </w:r>
      <w:proofErr w:type="gramStart"/>
      <w:r w:rsidRPr="00DD79E1">
        <w:rPr>
          <w:rFonts w:ascii="Garamond" w:eastAsia="Times New Roman" w:hAnsi="Garamond" w:cs="Times New Roman"/>
          <w:w w:val="95"/>
          <w:sz w:val="24"/>
          <w:szCs w:val="24"/>
        </w:rPr>
        <w:t>di  Lampung</w:t>
      </w:r>
      <w:proofErr w:type="gramEnd"/>
      <w:r w:rsidRPr="00DD79E1">
        <w:rPr>
          <w:rFonts w:ascii="Garamond" w:eastAsia="Times New Roman" w:hAnsi="Garamond" w:cs="Times New Roman"/>
          <w:w w:val="95"/>
          <w:sz w:val="24"/>
          <w:szCs w:val="24"/>
        </w:rPr>
        <w:t xml:space="preserve"> </w:t>
      </w:r>
      <w:r w:rsidRPr="00DD79E1">
        <w:rPr>
          <w:rStyle w:val="BodyTextChar"/>
          <w:rFonts w:ascii="Garamond" w:eastAsiaTheme="minorEastAsia" w:hAnsi="Garamond"/>
        </w:rPr>
        <w:t>antara lain sebagai berikut</w:t>
      </w:r>
      <w:r w:rsidR="00C2300E" w:rsidRPr="00DD79E1">
        <w:rPr>
          <w:rStyle w:val="BodyTextChar"/>
          <w:rFonts w:ascii="Garamond" w:eastAsiaTheme="minorEastAsia" w:hAnsi="Garamond"/>
        </w:rPr>
        <w:t xml:space="preserve"> </w:t>
      </w:r>
      <w:r w:rsidRPr="00DD79E1">
        <w:rPr>
          <w:rStyle w:val="BodyTextChar"/>
          <w:rFonts w:ascii="Garamond" w:eastAsiaTheme="minorEastAsia" w:hAnsi="Garamond"/>
        </w:rPr>
        <w:t>:</w:t>
      </w:r>
      <w:r w:rsidR="00C2300E" w:rsidRPr="00DD79E1">
        <w:rPr>
          <w:rStyle w:val="BodyTextChar"/>
          <w:rFonts w:ascii="Garamond" w:eastAsiaTheme="minorEastAsia" w:hAnsi="Garamond"/>
        </w:rPr>
        <w:t xml:space="preserve"> </w:t>
      </w:r>
      <w:r w:rsidRPr="00DD79E1">
        <w:rPr>
          <w:rFonts w:ascii="Garamond" w:eastAsia="Times New Roman" w:hAnsi="Garamond" w:cs="Times New Roman"/>
          <w:w w:val="95"/>
          <w:sz w:val="24"/>
          <w:szCs w:val="24"/>
        </w:rPr>
        <w:t xml:space="preserve">Pertama, manajemen pengelolaan belum maksimal. </w:t>
      </w:r>
      <w:proofErr w:type="gramStart"/>
      <w:r w:rsidRPr="00DD79E1">
        <w:rPr>
          <w:rFonts w:ascii="Garamond" w:hAnsi="Garamond" w:cs="Times New Roman"/>
          <w:sz w:val="24"/>
          <w:szCs w:val="24"/>
        </w:rPr>
        <w:t xml:space="preserve">Manajemen pengelolaan wakaf di Provinsi Lampung saat ini sudah </w:t>
      </w:r>
      <w:r w:rsidRPr="00DD79E1">
        <w:rPr>
          <w:rFonts w:ascii="Garamond" w:hAnsi="Garamond" w:cs="Times New Roman"/>
          <w:spacing w:val="-6"/>
          <w:w w:val="95"/>
          <w:sz w:val="24"/>
          <w:szCs w:val="24"/>
        </w:rPr>
        <w:t xml:space="preserve">relatif baik, </w:t>
      </w:r>
      <w:r w:rsidRPr="00DD79E1">
        <w:rPr>
          <w:rFonts w:ascii="Garamond" w:hAnsi="Garamond" w:cs="Times New Roman"/>
          <w:sz w:val="24"/>
          <w:szCs w:val="24"/>
        </w:rPr>
        <w:t>namun belum maksimal</w:t>
      </w:r>
      <w:r w:rsidR="007054FE" w:rsidRPr="00DD79E1">
        <w:rPr>
          <w:rFonts w:ascii="Garamond" w:hAnsi="Garamond" w:cs="Times New Roman"/>
          <w:sz w:val="24"/>
          <w:szCs w:val="24"/>
        </w:rPr>
        <w:t xml:space="preserve"> sehingga mengakibatkan sebagian harta wakaf yang terlantar</w:t>
      </w:r>
      <w:r w:rsidRPr="00DD79E1">
        <w:rPr>
          <w:rFonts w:ascii="Garamond" w:hAnsi="Garamond" w:cs="Times New Roman"/>
          <w:sz w:val="24"/>
          <w:szCs w:val="24"/>
        </w:rPr>
        <w:t>.</w:t>
      </w:r>
      <w:proofErr w:type="gramEnd"/>
      <w:r w:rsidRPr="00DD79E1">
        <w:rPr>
          <w:rFonts w:ascii="Garamond" w:hAnsi="Garamond" w:cs="Times New Roman"/>
          <w:sz w:val="24"/>
          <w:szCs w:val="24"/>
        </w:rPr>
        <w:t xml:space="preserve"> </w:t>
      </w:r>
      <w:proofErr w:type="gramStart"/>
      <w:r w:rsidR="007054FE" w:rsidRPr="00DD79E1">
        <w:rPr>
          <w:rFonts w:ascii="Garamond" w:hAnsi="Garamond" w:cs="Times New Roman"/>
          <w:sz w:val="24"/>
          <w:szCs w:val="24"/>
        </w:rPr>
        <w:t xml:space="preserve">Penyebabnya karena sebagian besar umat Islam </w:t>
      </w:r>
      <w:r w:rsidRPr="00DD79E1">
        <w:rPr>
          <w:rFonts w:ascii="Garamond" w:hAnsi="Garamond" w:cs="Times New Roman"/>
          <w:sz w:val="24"/>
          <w:szCs w:val="24"/>
        </w:rPr>
        <w:t>umumnya mewakafkan tanah</w:t>
      </w:r>
      <w:r w:rsidR="007054FE" w:rsidRPr="00DD79E1">
        <w:rPr>
          <w:rFonts w:ascii="Garamond" w:hAnsi="Garamond" w:cs="Times New Roman"/>
          <w:sz w:val="24"/>
          <w:szCs w:val="24"/>
        </w:rPr>
        <w:t xml:space="preserve"> maupun </w:t>
      </w:r>
      <w:r w:rsidRPr="00DD79E1">
        <w:rPr>
          <w:rFonts w:ascii="Garamond" w:hAnsi="Garamond" w:cs="Times New Roman"/>
          <w:sz w:val="24"/>
          <w:szCs w:val="24"/>
        </w:rPr>
        <w:t xml:space="preserve">bangunan sekolah, sementara itu wakif kurang memikirkan biaya operasional sekolah, serta </w:t>
      </w:r>
      <w:r w:rsidR="007054FE" w:rsidRPr="00DD79E1">
        <w:rPr>
          <w:rFonts w:ascii="Garamond" w:hAnsi="Garamond" w:cs="Times New Roman"/>
          <w:sz w:val="24"/>
          <w:szCs w:val="24"/>
        </w:rPr>
        <w:t>nadzir yang kurang profesional.</w:t>
      </w:r>
      <w:proofErr w:type="gramEnd"/>
      <w:r w:rsidRPr="00DD79E1">
        <w:rPr>
          <w:rStyle w:val="FootnoteReference"/>
          <w:rFonts w:ascii="Garamond" w:hAnsi="Garamond" w:cs="Times New Roman"/>
          <w:sz w:val="24"/>
          <w:szCs w:val="24"/>
        </w:rPr>
        <w:footnoteReference w:id="35"/>
      </w:r>
      <w:r w:rsidR="006605B1" w:rsidRPr="00DD79E1">
        <w:rPr>
          <w:rFonts w:ascii="Garamond" w:hAnsi="Garamond" w:cs="Times New Roman"/>
          <w:sz w:val="24"/>
          <w:szCs w:val="24"/>
        </w:rPr>
        <w:t xml:space="preserve"> </w:t>
      </w:r>
      <w:proofErr w:type="gramStart"/>
      <w:r w:rsidR="006605B1" w:rsidRPr="00DD79E1">
        <w:rPr>
          <w:rFonts w:ascii="Garamond" w:hAnsi="Garamond" w:cs="Times New Roman"/>
          <w:sz w:val="24"/>
          <w:szCs w:val="24"/>
        </w:rPr>
        <w:t>Minimnya peran wakaf dalam memperkuat perekonomian nasional Provinsi Lampung disebabkan wakaf belum dikelola secara produktif secara maksimal.</w:t>
      </w:r>
      <w:proofErr w:type="gramEnd"/>
      <w:r w:rsidR="006605B1" w:rsidRPr="00DD79E1">
        <w:rPr>
          <w:rFonts w:ascii="Garamond" w:hAnsi="Garamond" w:cs="Times New Roman"/>
          <w:sz w:val="24"/>
          <w:szCs w:val="24"/>
        </w:rPr>
        <w:t xml:space="preserve"> </w:t>
      </w:r>
      <w:proofErr w:type="gramStart"/>
      <w:r w:rsidR="006605B1" w:rsidRPr="00DD79E1">
        <w:rPr>
          <w:rFonts w:ascii="Garamond" w:hAnsi="Garamond" w:cs="Times New Roman"/>
          <w:sz w:val="24"/>
          <w:szCs w:val="24"/>
        </w:rPr>
        <w:t>Untuk mengatasi masalah ini, paradigma baru pengelolaan wakaf perlu diperkenalkan.</w:t>
      </w:r>
      <w:proofErr w:type="gramEnd"/>
      <w:r w:rsidR="006605B1" w:rsidRPr="00DD79E1">
        <w:rPr>
          <w:rFonts w:ascii="Garamond" w:hAnsi="Garamond" w:cs="Times New Roman"/>
          <w:sz w:val="24"/>
          <w:szCs w:val="24"/>
        </w:rPr>
        <w:t xml:space="preserve"> </w:t>
      </w:r>
      <w:proofErr w:type="gramStart"/>
      <w:r w:rsidR="006605B1" w:rsidRPr="00DD79E1">
        <w:rPr>
          <w:rFonts w:ascii="Garamond" w:hAnsi="Garamond" w:cs="Times New Roman"/>
          <w:sz w:val="24"/>
          <w:szCs w:val="24"/>
        </w:rPr>
        <w:t>Wakaf harus dikelola secara efektif dengan manajemen modern</w:t>
      </w:r>
      <w:r w:rsidRPr="00DD79E1">
        <w:rPr>
          <w:rFonts w:ascii="Garamond" w:hAnsi="Garamond" w:cs="Times New Roman"/>
          <w:sz w:val="24"/>
          <w:szCs w:val="24"/>
        </w:rPr>
        <w:t>.</w:t>
      </w:r>
      <w:proofErr w:type="gramEnd"/>
      <w:r w:rsidRPr="00DD79E1">
        <w:rPr>
          <w:rStyle w:val="FootnoteReference"/>
          <w:rFonts w:ascii="Garamond" w:hAnsi="Garamond" w:cs="Times New Roman"/>
          <w:sz w:val="24"/>
          <w:szCs w:val="24"/>
        </w:rPr>
        <w:footnoteReference w:id="36"/>
      </w:r>
      <w:r w:rsidRPr="00DD79E1">
        <w:rPr>
          <w:rFonts w:ascii="Garamond" w:hAnsi="Garamond" w:cs="Times New Roman"/>
          <w:sz w:val="24"/>
          <w:szCs w:val="24"/>
        </w:rPr>
        <w:t xml:space="preserve"> </w:t>
      </w:r>
      <w:proofErr w:type="gramStart"/>
      <w:r w:rsidRPr="00DD79E1">
        <w:rPr>
          <w:rFonts w:ascii="Garamond" w:hAnsi="Garamond" w:cs="Times New Roman"/>
          <w:sz w:val="24"/>
          <w:szCs w:val="24"/>
        </w:rPr>
        <w:t>Pendayagunaan wakaf secara produktif mengharuskan pengelolaan secara profesional dengan melibatkan sistem manajemen.</w:t>
      </w:r>
      <w:proofErr w:type="gramEnd"/>
      <w:r w:rsidRPr="00DD79E1">
        <w:rPr>
          <w:rFonts w:ascii="Garamond" w:hAnsi="Garamond" w:cs="Times New Roman"/>
          <w:sz w:val="24"/>
          <w:szCs w:val="24"/>
        </w:rPr>
        <w:t xml:space="preserve"> Rumusan dasar </w:t>
      </w:r>
      <w:r w:rsidR="00F113C5" w:rsidRPr="00DD79E1">
        <w:rPr>
          <w:rFonts w:ascii="Garamond" w:hAnsi="Garamond" w:cs="Times New Roman"/>
          <w:sz w:val="24"/>
          <w:szCs w:val="24"/>
        </w:rPr>
        <w:t xml:space="preserve">di dalam </w:t>
      </w:r>
      <w:r w:rsidRPr="00DD79E1">
        <w:rPr>
          <w:rFonts w:ascii="Garamond" w:hAnsi="Garamond" w:cs="Times New Roman"/>
          <w:sz w:val="24"/>
          <w:szCs w:val="24"/>
        </w:rPr>
        <w:t>manajemen</w:t>
      </w:r>
      <w:r w:rsidR="00F113C5" w:rsidRPr="00DD79E1">
        <w:rPr>
          <w:rFonts w:ascii="Garamond" w:hAnsi="Garamond" w:cs="Times New Roman"/>
          <w:sz w:val="24"/>
          <w:szCs w:val="24"/>
        </w:rPr>
        <w:t xml:space="preserve"> wakaf meliputi perencanaan, </w:t>
      </w:r>
      <w:r w:rsidRPr="00DD79E1">
        <w:rPr>
          <w:rFonts w:ascii="Garamond" w:hAnsi="Garamond" w:cs="Times New Roman"/>
          <w:sz w:val="24"/>
          <w:szCs w:val="24"/>
        </w:rPr>
        <w:t xml:space="preserve">pengorganisasian, </w:t>
      </w:r>
      <w:proofErr w:type="gramStart"/>
      <w:r w:rsidRPr="00DD79E1">
        <w:rPr>
          <w:rFonts w:ascii="Garamond" w:hAnsi="Garamond" w:cs="Times New Roman"/>
          <w:sz w:val="24"/>
          <w:szCs w:val="24"/>
        </w:rPr>
        <w:t>pelaksanaan  dan</w:t>
      </w:r>
      <w:proofErr w:type="gramEnd"/>
      <w:r w:rsidRPr="00DD79E1">
        <w:rPr>
          <w:rFonts w:ascii="Garamond" w:hAnsi="Garamond" w:cs="Times New Roman"/>
          <w:sz w:val="24"/>
          <w:szCs w:val="24"/>
        </w:rPr>
        <w:t xml:space="preserve"> pengawasan</w:t>
      </w:r>
      <w:r w:rsidR="00F113C5" w:rsidRPr="00DD79E1">
        <w:rPr>
          <w:rFonts w:ascii="Garamond" w:hAnsi="Garamond" w:cs="Times New Roman"/>
          <w:sz w:val="24"/>
          <w:szCs w:val="24"/>
        </w:rPr>
        <w:t xml:space="preserve">. </w:t>
      </w:r>
      <w:proofErr w:type="gramStart"/>
      <w:r w:rsidR="00F113C5" w:rsidRPr="00DD79E1">
        <w:rPr>
          <w:rFonts w:ascii="Garamond" w:hAnsi="Garamond" w:cs="Times New Roman"/>
          <w:sz w:val="24"/>
          <w:szCs w:val="24"/>
        </w:rPr>
        <w:t>Dengan begitu maka pendayagunaan wakaf bisa maksimal.</w:t>
      </w:r>
      <w:proofErr w:type="gramEnd"/>
    </w:p>
    <w:p w:rsidR="00D81A50" w:rsidRPr="00DD79E1" w:rsidRDefault="00316CEF" w:rsidP="00D81A50">
      <w:pPr>
        <w:autoSpaceDE w:val="0"/>
        <w:autoSpaceDN w:val="0"/>
        <w:adjustRightInd w:val="0"/>
        <w:spacing w:after="0" w:line="240" w:lineRule="auto"/>
        <w:ind w:firstLine="709"/>
        <w:jc w:val="both"/>
        <w:rPr>
          <w:rStyle w:val="ListParagraphChar"/>
          <w:rFonts w:ascii="Garamond" w:hAnsi="Garamond" w:cs="Times New Roman"/>
          <w:sz w:val="24"/>
          <w:szCs w:val="24"/>
        </w:rPr>
      </w:pPr>
      <w:proofErr w:type="gramStart"/>
      <w:r w:rsidRPr="00DD79E1">
        <w:rPr>
          <w:rStyle w:val="ListParagraphChar"/>
          <w:rFonts w:ascii="Garamond" w:hAnsi="Garamond" w:cs="Times New Roman"/>
          <w:sz w:val="24"/>
          <w:szCs w:val="24"/>
        </w:rPr>
        <w:t xml:space="preserve">Penerapan prinsip pengawasan </w:t>
      </w:r>
      <w:r w:rsidR="00F113C5" w:rsidRPr="00DD79E1">
        <w:rPr>
          <w:rStyle w:val="ListParagraphChar"/>
          <w:rFonts w:ascii="Garamond" w:hAnsi="Garamond" w:cs="Times New Roman"/>
          <w:sz w:val="24"/>
          <w:szCs w:val="24"/>
        </w:rPr>
        <w:t xml:space="preserve">bisa </w:t>
      </w:r>
      <w:r w:rsidRPr="00DD79E1">
        <w:rPr>
          <w:rStyle w:val="ListParagraphChar"/>
          <w:rFonts w:ascii="Garamond" w:hAnsi="Garamond" w:cs="Times New Roman"/>
          <w:sz w:val="24"/>
          <w:szCs w:val="24"/>
        </w:rPr>
        <w:t>menjadikan penge</w:t>
      </w:r>
      <w:r w:rsidR="00F113C5" w:rsidRPr="00DD79E1">
        <w:rPr>
          <w:rStyle w:val="ListParagraphChar"/>
          <w:rFonts w:ascii="Garamond" w:hAnsi="Garamond" w:cs="Times New Roman"/>
          <w:sz w:val="24"/>
          <w:szCs w:val="24"/>
        </w:rPr>
        <w:t>l</w:t>
      </w:r>
      <w:r w:rsidRPr="00DD79E1">
        <w:rPr>
          <w:rStyle w:val="ListParagraphChar"/>
          <w:rFonts w:ascii="Garamond" w:hAnsi="Garamond" w:cs="Times New Roman"/>
          <w:sz w:val="24"/>
          <w:szCs w:val="24"/>
        </w:rPr>
        <w:t>olaan wakaf berjalan efektif dan efisien.</w:t>
      </w:r>
      <w:proofErr w:type="gramEnd"/>
      <w:r w:rsidRPr="00DD79E1">
        <w:rPr>
          <w:rStyle w:val="ListParagraphChar"/>
          <w:rFonts w:ascii="Garamond" w:hAnsi="Garamond" w:cs="Times New Roman"/>
          <w:sz w:val="24"/>
          <w:szCs w:val="24"/>
        </w:rPr>
        <w:t xml:space="preserve"> Sejalan dengan hal ini UU No. 41 Tahun 2004 Pasal 64 menyatakan bahwa pelaksanaan pengawasan dapat menggunakan jasa akuntan publik. Dalam pelaksanaan organisasi, fungsi pengawasan ini </w:t>
      </w:r>
      <w:proofErr w:type="gramStart"/>
      <w:r w:rsidRPr="00DD79E1">
        <w:rPr>
          <w:rStyle w:val="ListParagraphChar"/>
          <w:rFonts w:ascii="Garamond" w:hAnsi="Garamond" w:cs="Times New Roman"/>
          <w:sz w:val="24"/>
          <w:szCs w:val="24"/>
        </w:rPr>
        <w:t>akan</w:t>
      </w:r>
      <w:proofErr w:type="gramEnd"/>
      <w:r w:rsidRPr="00DD79E1">
        <w:rPr>
          <w:rStyle w:val="ListParagraphChar"/>
          <w:rFonts w:ascii="Garamond" w:hAnsi="Garamond" w:cs="Times New Roman"/>
          <w:sz w:val="24"/>
          <w:szCs w:val="24"/>
        </w:rPr>
        <w:t xml:space="preserve"> berimplikasi pada terwujudnya good governance yang dicirikan dengan ditegakkannya prinsip akuntabilitas. Pada tahap berikutnya implementasi prinsip akuntabilitas ini </w:t>
      </w:r>
      <w:proofErr w:type="gramStart"/>
      <w:r w:rsidRPr="00DD79E1">
        <w:rPr>
          <w:rStyle w:val="ListParagraphChar"/>
          <w:rFonts w:ascii="Garamond" w:hAnsi="Garamond" w:cs="Times New Roman"/>
          <w:sz w:val="24"/>
          <w:szCs w:val="24"/>
        </w:rPr>
        <w:t>akan</w:t>
      </w:r>
      <w:proofErr w:type="gramEnd"/>
      <w:r w:rsidRPr="00DD79E1">
        <w:rPr>
          <w:rStyle w:val="ListParagraphChar"/>
          <w:rFonts w:ascii="Garamond" w:hAnsi="Garamond" w:cs="Times New Roman"/>
          <w:sz w:val="24"/>
          <w:szCs w:val="24"/>
        </w:rPr>
        <w:t xml:space="preserve"> berdampak pada meningkatkan kepercayaan publik. </w:t>
      </w:r>
    </w:p>
    <w:p w:rsidR="00D81A50" w:rsidRPr="00DD79E1" w:rsidRDefault="00316CEF" w:rsidP="00D81A50">
      <w:pPr>
        <w:autoSpaceDE w:val="0"/>
        <w:autoSpaceDN w:val="0"/>
        <w:adjustRightInd w:val="0"/>
        <w:spacing w:after="0" w:line="240" w:lineRule="auto"/>
        <w:ind w:firstLine="709"/>
        <w:jc w:val="both"/>
        <w:rPr>
          <w:rFonts w:ascii="Garamond" w:hAnsi="Garamond" w:cs="Times New Roman"/>
          <w:sz w:val="24"/>
          <w:szCs w:val="24"/>
        </w:rPr>
      </w:pPr>
      <w:r w:rsidRPr="00DD79E1">
        <w:rPr>
          <w:rStyle w:val="ListParagraphChar"/>
          <w:rFonts w:ascii="Garamond" w:hAnsi="Garamond" w:cs="Times New Roman"/>
          <w:sz w:val="24"/>
          <w:szCs w:val="24"/>
        </w:rPr>
        <w:lastRenderedPageBreak/>
        <w:t>Pemberdayaan pengelolaan wakaf perlu segera diawali mengingat masih banyak lembaga pengelola wakaf yang belum mengedepankan</w:t>
      </w:r>
      <w:r w:rsidRPr="00DD79E1">
        <w:rPr>
          <w:rFonts w:ascii="Garamond" w:hAnsi="Garamond" w:cs="Times New Roman"/>
          <w:spacing w:val="-18"/>
          <w:w w:val="90"/>
          <w:sz w:val="24"/>
          <w:szCs w:val="24"/>
        </w:rPr>
        <w:t xml:space="preserve"> </w:t>
      </w:r>
      <w:r w:rsidRPr="00DD79E1">
        <w:rPr>
          <w:rFonts w:ascii="Garamond" w:hAnsi="Garamond" w:cs="Times New Roman"/>
          <w:sz w:val="24"/>
          <w:szCs w:val="24"/>
        </w:rPr>
        <w:t xml:space="preserve">prinsip akuntabilitas ini, sehingga dikhawatirkan </w:t>
      </w:r>
      <w:proofErr w:type="gramStart"/>
      <w:r w:rsidRPr="00DD79E1">
        <w:rPr>
          <w:rFonts w:ascii="Garamond" w:hAnsi="Garamond" w:cs="Times New Roman"/>
          <w:sz w:val="24"/>
          <w:szCs w:val="24"/>
        </w:rPr>
        <w:t>akan</w:t>
      </w:r>
      <w:proofErr w:type="gramEnd"/>
      <w:r w:rsidRPr="00DD79E1">
        <w:rPr>
          <w:rFonts w:ascii="Garamond" w:hAnsi="Garamond" w:cs="Times New Roman"/>
          <w:sz w:val="24"/>
          <w:szCs w:val="24"/>
        </w:rPr>
        <w:t xml:space="preserve"> berimplikasi pada hilangnya kepercayaan (distrust) masyarakat terhadap lembaga itu. </w:t>
      </w:r>
      <w:proofErr w:type="gramStart"/>
      <w:r w:rsidRPr="00DD79E1">
        <w:rPr>
          <w:rFonts w:ascii="Garamond" w:hAnsi="Garamond" w:cs="Times New Roman"/>
          <w:sz w:val="24"/>
          <w:szCs w:val="24"/>
        </w:rPr>
        <w:t>Dalam pengelolaan wakaf sendiri, kepercayaan masyarakat merupakan social capital yang terpenting.</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Karena itu, hilangnya kepercayaan masyarakat kepada lembaga pengelola wakaf, amat kontra</w:t>
      </w:r>
      <w:r w:rsidRPr="00DD79E1">
        <w:rPr>
          <w:rFonts w:ascii="Garamond" w:hAnsi="Garamond" w:cs="Times New Roman"/>
          <w:spacing w:val="-21"/>
          <w:w w:val="90"/>
          <w:sz w:val="24"/>
          <w:szCs w:val="24"/>
        </w:rPr>
        <w:t xml:space="preserve"> </w:t>
      </w:r>
      <w:r w:rsidRPr="00DD79E1">
        <w:rPr>
          <w:rFonts w:ascii="Garamond" w:hAnsi="Garamond" w:cs="Times New Roman"/>
          <w:sz w:val="24"/>
          <w:szCs w:val="24"/>
        </w:rPr>
        <w:t>produktif dengan cita-cita menjadikan wakaf sebagai instrumen untuk mensejahterakan umat.</w:t>
      </w:r>
      <w:proofErr w:type="gramEnd"/>
    </w:p>
    <w:p w:rsidR="006605B1" w:rsidRPr="00DD79E1" w:rsidRDefault="00316CEF" w:rsidP="00D81A50">
      <w:pPr>
        <w:autoSpaceDE w:val="0"/>
        <w:autoSpaceDN w:val="0"/>
        <w:adjustRightInd w:val="0"/>
        <w:spacing w:after="0" w:line="240" w:lineRule="auto"/>
        <w:ind w:firstLine="709"/>
        <w:jc w:val="both"/>
        <w:rPr>
          <w:rFonts w:ascii="Garamond" w:hAnsi="Garamond"/>
          <w:w w:val="95"/>
          <w:sz w:val="24"/>
          <w:szCs w:val="24"/>
        </w:rPr>
      </w:pPr>
      <w:proofErr w:type="gramStart"/>
      <w:r w:rsidRPr="00DD79E1">
        <w:rPr>
          <w:rFonts w:ascii="Garamond" w:hAnsi="Garamond"/>
          <w:sz w:val="24"/>
          <w:szCs w:val="24"/>
        </w:rPr>
        <w:t xml:space="preserve">Kedua, </w:t>
      </w:r>
      <w:r w:rsidRPr="00DD79E1">
        <w:rPr>
          <w:rFonts w:ascii="Garamond" w:hAnsi="Garamond"/>
          <w:w w:val="95"/>
          <w:sz w:val="24"/>
          <w:szCs w:val="24"/>
        </w:rPr>
        <w:t>sosialisasi belum massif.</w:t>
      </w:r>
      <w:proofErr w:type="gramEnd"/>
      <w:r w:rsidRPr="00DD79E1">
        <w:rPr>
          <w:rFonts w:ascii="Garamond" w:hAnsi="Garamond"/>
          <w:w w:val="95"/>
          <w:sz w:val="24"/>
          <w:szCs w:val="24"/>
        </w:rPr>
        <w:t xml:space="preserve"> </w:t>
      </w:r>
      <w:proofErr w:type="gramStart"/>
      <w:r w:rsidRPr="00DD79E1">
        <w:rPr>
          <w:rFonts w:ascii="Garamond" w:hAnsi="Garamond"/>
          <w:w w:val="95"/>
          <w:sz w:val="24"/>
          <w:szCs w:val="24"/>
        </w:rPr>
        <w:t xml:space="preserve">Masyarakat pada umumnya </w:t>
      </w:r>
      <w:r w:rsidR="006605B1" w:rsidRPr="00DD79E1">
        <w:rPr>
          <w:rFonts w:ascii="Garamond" w:hAnsi="Garamond"/>
          <w:w w:val="95"/>
          <w:sz w:val="24"/>
          <w:szCs w:val="24"/>
        </w:rPr>
        <w:t>belum memahami hukum wakaf secara baik dan benar, serta sesuai dengan rukun dan syarat wakaf serta tujuan peraturan wakaf.</w:t>
      </w:r>
      <w:proofErr w:type="gramEnd"/>
      <w:r w:rsidR="006605B1" w:rsidRPr="00DD79E1">
        <w:rPr>
          <w:rFonts w:ascii="Garamond" w:hAnsi="Garamond"/>
          <w:w w:val="95"/>
          <w:sz w:val="24"/>
          <w:szCs w:val="24"/>
        </w:rPr>
        <w:t xml:space="preserve"> Pemahaman terhadap rukun wakaf sangat penting bagi masyarakat karena dengan memahami rukun wakaf seseorang dapat mengetahui siapa yang boleh mewakaf, </w:t>
      </w:r>
      <w:proofErr w:type="gramStart"/>
      <w:r w:rsidR="006605B1" w:rsidRPr="00DD79E1">
        <w:rPr>
          <w:rFonts w:ascii="Garamond" w:hAnsi="Garamond"/>
          <w:w w:val="95"/>
          <w:sz w:val="24"/>
          <w:szCs w:val="24"/>
        </w:rPr>
        <w:t>apa</w:t>
      </w:r>
      <w:proofErr w:type="gramEnd"/>
      <w:r w:rsidR="006605B1" w:rsidRPr="00DD79E1">
        <w:rPr>
          <w:rFonts w:ascii="Garamond" w:hAnsi="Garamond"/>
          <w:w w:val="95"/>
          <w:sz w:val="24"/>
          <w:szCs w:val="24"/>
        </w:rPr>
        <w:t xml:space="preserve"> yang boleh diwakafkan, untuk apa wakaf dan untuk siapa, bagaimana cara berwakaf, dan siapa yang menjadi nadzir. </w:t>
      </w:r>
      <w:proofErr w:type="gramStart"/>
      <w:r w:rsidR="006605B1" w:rsidRPr="00DD79E1">
        <w:rPr>
          <w:rFonts w:ascii="Garamond" w:hAnsi="Garamond"/>
          <w:w w:val="95"/>
          <w:sz w:val="24"/>
          <w:szCs w:val="24"/>
        </w:rPr>
        <w:t>Pemahaman masyarakat yang masih bertumpu pada konsumerisme menyebabkan wakif memilih nadzir dan mereka yang mempunyai waktu untuk mengurus dan memelihara masjid.</w:t>
      </w:r>
      <w:proofErr w:type="gramEnd"/>
      <w:r w:rsidR="006605B1" w:rsidRPr="00DD79E1">
        <w:rPr>
          <w:rFonts w:ascii="Garamond" w:hAnsi="Garamond"/>
          <w:w w:val="95"/>
          <w:sz w:val="24"/>
          <w:szCs w:val="24"/>
        </w:rPr>
        <w:t xml:space="preserve"> </w:t>
      </w:r>
      <w:proofErr w:type="gramStart"/>
      <w:r w:rsidR="006605B1" w:rsidRPr="00DD79E1">
        <w:rPr>
          <w:rFonts w:ascii="Garamond" w:hAnsi="Garamond"/>
          <w:w w:val="95"/>
          <w:sz w:val="24"/>
          <w:szCs w:val="24"/>
        </w:rPr>
        <w:t>Dalam hal ini wakif tidak memperhitungkan kemampuan nadzirand dalam mengembangkan masjid agar masjid menjadi pusat kegiatan masyarakat.</w:t>
      </w:r>
      <w:proofErr w:type="gramEnd"/>
      <w:r w:rsidR="006605B1" w:rsidRPr="00DD79E1">
        <w:rPr>
          <w:rFonts w:ascii="Garamond" w:hAnsi="Garamond"/>
          <w:w w:val="95"/>
          <w:sz w:val="24"/>
          <w:szCs w:val="24"/>
        </w:rPr>
        <w:t xml:space="preserve"> </w:t>
      </w:r>
      <w:proofErr w:type="gramStart"/>
      <w:r w:rsidR="006605B1" w:rsidRPr="00DD79E1">
        <w:rPr>
          <w:rFonts w:ascii="Garamond" w:hAnsi="Garamond"/>
          <w:w w:val="95"/>
          <w:sz w:val="24"/>
          <w:szCs w:val="24"/>
        </w:rPr>
        <w:t>Dengan demikian, wakaf yang ada hanya fokus pada kebutuhan ibadah dan hanya sedikit wakaf yang bertujuan untuk meningkatkan perekonomian nasional.</w:t>
      </w:r>
      <w:proofErr w:type="gramEnd"/>
      <w:r w:rsidR="006605B1" w:rsidRPr="00DD79E1">
        <w:rPr>
          <w:rFonts w:ascii="Garamond" w:hAnsi="Garamond"/>
          <w:w w:val="95"/>
          <w:sz w:val="24"/>
          <w:szCs w:val="24"/>
        </w:rPr>
        <w:t xml:space="preserve"> Padahal, jika melihat sejarah wakaf dan masa Nabi Muhammad SAW, selain masjid dan sekolah, wakaf juga cukup banyak berbentuk </w:t>
      </w:r>
      <w:proofErr w:type="gramStart"/>
      <w:r w:rsidR="006605B1" w:rsidRPr="00DD79E1">
        <w:rPr>
          <w:rFonts w:ascii="Garamond" w:hAnsi="Garamond"/>
          <w:w w:val="95"/>
          <w:sz w:val="24"/>
          <w:szCs w:val="24"/>
        </w:rPr>
        <w:t>taman</w:t>
      </w:r>
      <w:proofErr w:type="gramEnd"/>
      <w:r w:rsidR="006605B1" w:rsidRPr="00DD79E1">
        <w:rPr>
          <w:rFonts w:ascii="Garamond" w:hAnsi="Garamond"/>
          <w:w w:val="95"/>
          <w:sz w:val="24"/>
          <w:szCs w:val="24"/>
        </w:rPr>
        <w:t xml:space="preserve"> yang hasilnya diperuntukkan kepada umat.</w:t>
      </w:r>
    </w:p>
    <w:p w:rsidR="00D81A50" w:rsidRPr="00DD79E1" w:rsidRDefault="00316CEF" w:rsidP="00D81A50">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Style w:val="BodyTextChar"/>
          <w:rFonts w:ascii="Garamond" w:eastAsiaTheme="minorEastAsia" w:hAnsi="Garamond"/>
        </w:rPr>
        <w:t xml:space="preserve">Ketiga, </w:t>
      </w:r>
      <w:r w:rsidRPr="00DD79E1">
        <w:rPr>
          <w:rFonts w:ascii="Garamond" w:hAnsi="Garamond" w:cs="Times New Roman"/>
          <w:sz w:val="24"/>
          <w:szCs w:val="24"/>
        </w:rPr>
        <w:t>pemahaman dan komitmen nazhir.</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Pemahaman dan komitmen Nazhir juga berpengaruh pada optimalisasi wakaf di Provinsi Lampung.</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Dengan pemahaman yang baik dan komitmen tinggi maka para nazhir bisa mengembangkan potensi wakaf.</w:t>
      </w:r>
      <w:proofErr w:type="gramEnd"/>
      <w:r w:rsidRPr="00DD79E1">
        <w:rPr>
          <w:rFonts w:ascii="Garamond" w:hAnsi="Garamond" w:cs="Times New Roman"/>
          <w:sz w:val="24"/>
          <w:szCs w:val="24"/>
        </w:rPr>
        <w:t xml:space="preserve"> Objek wakaf</w:t>
      </w:r>
      <w:r w:rsidR="00013AC0" w:rsidRPr="00DD79E1">
        <w:rPr>
          <w:rFonts w:ascii="Garamond" w:hAnsi="Garamond" w:cs="Times New Roman"/>
          <w:sz w:val="24"/>
          <w:szCs w:val="24"/>
        </w:rPr>
        <w:t xml:space="preserve"> yang bisa</w:t>
      </w:r>
      <w:r w:rsidRPr="00DD79E1">
        <w:rPr>
          <w:rFonts w:ascii="Garamond" w:hAnsi="Garamond" w:cs="Times New Roman"/>
          <w:sz w:val="24"/>
          <w:szCs w:val="24"/>
        </w:rPr>
        <w:t xml:space="preserve"> dikembangkan </w:t>
      </w:r>
      <w:r w:rsidR="00013AC0" w:rsidRPr="00DD79E1">
        <w:rPr>
          <w:rFonts w:ascii="Garamond" w:hAnsi="Garamond" w:cs="Times New Roman"/>
          <w:sz w:val="24"/>
          <w:szCs w:val="24"/>
        </w:rPr>
        <w:t xml:space="preserve">adalah meliputi </w:t>
      </w:r>
      <w:r w:rsidRPr="00DD79E1">
        <w:rPr>
          <w:rFonts w:ascii="Garamond" w:hAnsi="Garamond" w:cs="Times New Roman"/>
          <w:sz w:val="24"/>
          <w:szCs w:val="24"/>
        </w:rPr>
        <w:t xml:space="preserve">benda bergerak </w:t>
      </w:r>
      <w:r w:rsidR="00013AC0" w:rsidRPr="00DD79E1">
        <w:rPr>
          <w:rFonts w:ascii="Garamond" w:hAnsi="Garamond" w:cs="Times New Roman"/>
          <w:sz w:val="24"/>
          <w:szCs w:val="24"/>
        </w:rPr>
        <w:t xml:space="preserve">yakni </w:t>
      </w:r>
      <w:r w:rsidRPr="00DD79E1">
        <w:rPr>
          <w:rFonts w:ascii="Garamond" w:hAnsi="Garamond" w:cs="Times New Roman"/>
          <w:sz w:val="24"/>
          <w:szCs w:val="24"/>
        </w:rPr>
        <w:t>uang</w:t>
      </w:r>
      <w:r w:rsidR="00013AC0" w:rsidRPr="00DD79E1">
        <w:rPr>
          <w:rFonts w:ascii="Garamond" w:hAnsi="Garamond" w:cs="Times New Roman"/>
          <w:sz w:val="24"/>
          <w:szCs w:val="24"/>
        </w:rPr>
        <w:t xml:space="preserve">, </w:t>
      </w:r>
      <w:r w:rsidRPr="00DD79E1">
        <w:rPr>
          <w:rFonts w:ascii="Garamond" w:hAnsi="Garamond" w:cs="Times New Roman"/>
          <w:sz w:val="24"/>
          <w:szCs w:val="24"/>
        </w:rPr>
        <w:t xml:space="preserve">logam mulia, </w:t>
      </w:r>
      <w:proofErr w:type="gramStart"/>
      <w:r w:rsidRPr="00DD79E1">
        <w:rPr>
          <w:rFonts w:ascii="Garamond" w:hAnsi="Garamond" w:cs="Times New Roman"/>
          <w:sz w:val="24"/>
          <w:szCs w:val="24"/>
        </w:rPr>
        <w:t>surat</w:t>
      </w:r>
      <w:proofErr w:type="gramEnd"/>
      <w:r w:rsidRPr="00DD79E1">
        <w:rPr>
          <w:rFonts w:ascii="Garamond" w:hAnsi="Garamond" w:cs="Times New Roman"/>
          <w:sz w:val="24"/>
          <w:szCs w:val="24"/>
        </w:rPr>
        <w:t xml:space="preserve"> berharga, benda bergerak lain </w:t>
      </w:r>
      <w:r w:rsidR="00013AC0" w:rsidRPr="00DD79E1">
        <w:rPr>
          <w:rFonts w:ascii="Garamond" w:hAnsi="Garamond" w:cs="Times New Roman"/>
          <w:sz w:val="24"/>
          <w:szCs w:val="24"/>
        </w:rPr>
        <w:t xml:space="preserve">seperti </w:t>
      </w:r>
      <w:r w:rsidRPr="00DD79E1">
        <w:rPr>
          <w:rFonts w:ascii="Garamond" w:hAnsi="Garamond" w:cs="Times New Roman"/>
          <w:sz w:val="24"/>
          <w:szCs w:val="24"/>
        </w:rPr>
        <w:t>kendaraan</w:t>
      </w:r>
      <w:r w:rsidR="00013AC0" w:rsidRPr="00DD79E1">
        <w:rPr>
          <w:rFonts w:ascii="Garamond" w:hAnsi="Garamond" w:cs="Times New Roman"/>
          <w:sz w:val="24"/>
          <w:szCs w:val="24"/>
        </w:rPr>
        <w:t xml:space="preserve"> maupun </w:t>
      </w:r>
      <w:r w:rsidRPr="00DD79E1">
        <w:rPr>
          <w:rFonts w:ascii="Garamond" w:hAnsi="Garamond" w:cs="Times New Roman"/>
          <w:sz w:val="24"/>
          <w:szCs w:val="24"/>
        </w:rPr>
        <w:t>hak kekayaan intelektual</w:t>
      </w:r>
      <w:r w:rsidR="00013AC0" w:rsidRPr="00DD79E1">
        <w:rPr>
          <w:rFonts w:ascii="Garamond" w:hAnsi="Garamond" w:cs="Times New Roman"/>
          <w:sz w:val="24"/>
          <w:szCs w:val="24"/>
        </w:rPr>
        <w:t>. Sedangkan b</w:t>
      </w:r>
      <w:r w:rsidRPr="00DD79E1">
        <w:rPr>
          <w:rFonts w:ascii="Garamond" w:hAnsi="Garamond" w:cs="Times New Roman"/>
          <w:sz w:val="24"/>
          <w:szCs w:val="24"/>
        </w:rPr>
        <w:t>enda wakaf adalah segala benda, baik bergerak atau tidak bergerak, yang memiliki daya tahan yang tidak hanya sekali pakai dan bernilai menurut ajaran Islam.</w:t>
      </w:r>
      <w:r w:rsidRPr="00DD79E1">
        <w:rPr>
          <w:rFonts w:ascii="Garamond" w:hAnsi="Garamond" w:cs="Times New Roman"/>
          <w:sz w:val="24"/>
          <w:szCs w:val="24"/>
          <w:vertAlign w:val="superscript"/>
        </w:rPr>
        <w:t>13</w:t>
      </w:r>
      <w:r w:rsidRPr="00DD79E1">
        <w:rPr>
          <w:rFonts w:ascii="Garamond" w:hAnsi="Garamond" w:cs="Times New Roman"/>
          <w:spacing w:val="-4"/>
          <w:w w:val="90"/>
          <w:sz w:val="24"/>
          <w:szCs w:val="24"/>
        </w:rPr>
        <w:t xml:space="preserve"> </w:t>
      </w:r>
      <w:r w:rsidRPr="00DD79E1">
        <w:rPr>
          <w:rFonts w:ascii="Garamond" w:hAnsi="Garamond" w:cs="Times New Roman"/>
          <w:sz w:val="24"/>
          <w:szCs w:val="24"/>
        </w:rPr>
        <w:t xml:space="preserve">Jumlah aset wakaf di Provinsi Lampung sangat besar, akan tetapi potensi </w:t>
      </w:r>
      <w:r w:rsidRPr="00DD79E1">
        <w:rPr>
          <w:rFonts w:ascii="Garamond" w:hAnsi="Garamond" w:cs="Times New Roman"/>
          <w:spacing w:val="-45"/>
          <w:w w:val="90"/>
          <w:sz w:val="24"/>
          <w:szCs w:val="24"/>
        </w:rPr>
        <w:t xml:space="preserve"> </w:t>
      </w:r>
      <w:r w:rsidRPr="00DD79E1">
        <w:rPr>
          <w:rFonts w:ascii="Garamond" w:hAnsi="Garamond" w:cs="Times New Roman"/>
          <w:spacing w:val="-4"/>
          <w:w w:val="95"/>
          <w:sz w:val="24"/>
          <w:szCs w:val="24"/>
        </w:rPr>
        <w:t>ini</w:t>
      </w:r>
      <w:r w:rsidRPr="00DD79E1">
        <w:rPr>
          <w:rFonts w:ascii="Garamond" w:hAnsi="Garamond" w:cs="Times New Roman"/>
          <w:spacing w:val="-3"/>
          <w:w w:val="95"/>
          <w:sz w:val="24"/>
          <w:szCs w:val="24"/>
        </w:rPr>
        <w:t xml:space="preserve"> </w:t>
      </w:r>
      <w:r w:rsidRPr="00DD79E1">
        <w:rPr>
          <w:rFonts w:ascii="Garamond" w:hAnsi="Garamond" w:cs="Times New Roman"/>
          <w:spacing w:val="-4"/>
          <w:w w:val="95"/>
          <w:sz w:val="24"/>
          <w:szCs w:val="24"/>
        </w:rPr>
        <w:t>belum</w:t>
      </w:r>
      <w:r w:rsidRPr="00DD79E1">
        <w:rPr>
          <w:rFonts w:ascii="Garamond" w:hAnsi="Garamond" w:cs="Times New Roman"/>
          <w:spacing w:val="-3"/>
          <w:w w:val="95"/>
          <w:sz w:val="24"/>
          <w:szCs w:val="24"/>
        </w:rPr>
        <w:t xml:space="preserve"> </w:t>
      </w:r>
      <w:r w:rsidRPr="00DD79E1">
        <w:rPr>
          <w:rFonts w:ascii="Garamond" w:hAnsi="Garamond" w:cs="Times New Roman"/>
          <w:spacing w:val="-4"/>
          <w:w w:val="95"/>
          <w:sz w:val="24"/>
          <w:szCs w:val="24"/>
        </w:rPr>
        <w:t>dapat</w:t>
      </w:r>
      <w:r w:rsidRPr="00DD79E1">
        <w:rPr>
          <w:rFonts w:ascii="Garamond" w:hAnsi="Garamond" w:cs="Times New Roman"/>
          <w:spacing w:val="-3"/>
          <w:w w:val="95"/>
          <w:sz w:val="24"/>
          <w:szCs w:val="24"/>
        </w:rPr>
        <w:t xml:space="preserve"> </w:t>
      </w:r>
      <w:r w:rsidRPr="00DD79E1">
        <w:rPr>
          <w:rFonts w:ascii="Garamond" w:hAnsi="Garamond" w:cs="Times New Roman"/>
          <w:spacing w:val="-4"/>
          <w:w w:val="95"/>
          <w:sz w:val="24"/>
          <w:szCs w:val="24"/>
        </w:rPr>
        <w:t>memberi</w:t>
      </w:r>
      <w:r w:rsidRPr="00DD79E1">
        <w:rPr>
          <w:rFonts w:ascii="Garamond" w:hAnsi="Garamond" w:cs="Times New Roman"/>
          <w:spacing w:val="-3"/>
          <w:w w:val="95"/>
          <w:sz w:val="24"/>
          <w:szCs w:val="24"/>
        </w:rPr>
        <w:t xml:space="preserve"> </w:t>
      </w:r>
      <w:r w:rsidRPr="00DD79E1">
        <w:rPr>
          <w:rFonts w:ascii="Garamond" w:hAnsi="Garamond" w:cs="Times New Roman"/>
          <w:spacing w:val="-4"/>
          <w:w w:val="95"/>
          <w:sz w:val="24"/>
          <w:szCs w:val="24"/>
        </w:rPr>
        <w:t>peran</w:t>
      </w:r>
      <w:r w:rsidRPr="00DD79E1">
        <w:rPr>
          <w:rFonts w:ascii="Garamond" w:hAnsi="Garamond" w:cs="Times New Roman"/>
          <w:spacing w:val="-3"/>
          <w:w w:val="95"/>
          <w:sz w:val="24"/>
          <w:szCs w:val="24"/>
        </w:rPr>
        <w:t xml:space="preserve"> maksimal</w:t>
      </w:r>
      <w:r w:rsidRPr="00DD79E1">
        <w:rPr>
          <w:rFonts w:ascii="Garamond" w:hAnsi="Garamond" w:cs="Times New Roman"/>
          <w:spacing w:val="-2"/>
          <w:w w:val="95"/>
          <w:sz w:val="24"/>
          <w:szCs w:val="24"/>
        </w:rPr>
        <w:t xml:space="preserve"> </w:t>
      </w:r>
      <w:r w:rsidRPr="00DD79E1">
        <w:rPr>
          <w:rFonts w:ascii="Garamond" w:hAnsi="Garamond" w:cs="Times New Roman"/>
          <w:spacing w:val="-3"/>
          <w:w w:val="95"/>
          <w:sz w:val="24"/>
          <w:szCs w:val="24"/>
        </w:rPr>
        <w:t>dalam</w:t>
      </w:r>
      <w:r w:rsidRPr="00DD79E1">
        <w:rPr>
          <w:rFonts w:ascii="Garamond" w:hAnsi="Garamond" w:cs="Times New Roman"/>
          <w:spacing w:val="-2"/>
          <w:w w:val="95"/>
          <w:sz w:val="24"/>
          <w:szCs w:val="24"/>
        </w:rPr>
        <w:t xml:space="preserve"> </w:t>
      </w:r>
      <w:r w:rsidRPr="00DD79E1">
        <w:rPr>
          <w:rFonts w:ascii="Garamond" w:hAnsi="Garamond" w:cs="Times New Roman"/>
          <w:sz w:val="24"/>
          <w:szCs w:val="24"/>
        </w:rPr>
        <w:t>memberdayakan</w:t>
      </w:r>
      <w:r w:rsidRPr="00DD79E1">
        <w:rPr>
          <w:rFonts w:ascii="Garamond" w:hAnsi="Garamond" w:cs="Times New Roman"/>
          <w:spacing w:val="-31"/>
          <w:sz w:val="24"/>
          <w:szCs w:val="24"/>
        </w:rPr>
        <w:t xml:space="preserve"> </w:t>
      </w:r>
      <w:r w:rsidRPr="00DD79E1">
        <w:rPr>
          <w:rFonts w:ascii="Garamond" w:hAnsi="Garamond" w:cs="Times New Roman"/>
          <w:sz w:val="24"/>
          <w:szCs w:val="24"/>
        </w:rPr>
        <w:t>ekonomi</w:t>
      </w:r>
      <w:r w:rsidRPr="00DD79E1">
        <w:rPr>
          <w:rFonts w:ascii="Garamond" w:hAnsi="Garamond" w:cs="Times New Roman"/>
          <w:spacing w:val="-29"/>
          <w:sz w:val="24"/>
          <w:szCs w:val="24"/>
        </w:rPr>
        <w:t xml:space="preserve"> </w:t>
      </w:r>
      <w:r w:rsidRPr="00DD79E1">
        <w:rPr>
          <w:rFonts w:ascii="Garamond" w:hAnsi="Garamond" w:cs="Times New Roman"/>
          <w:sz w:val="24"/>
          <w:szCs w:val="24"/>
        </w:rPr>
        <w:t>masyarakat.</w:t>
      </w:r>
      <w:r w:rsidRPr="00DD79E1">
        <w:rPr>
          <w:rStyle w:val="FootnoteReference"/>
          <w:rFonts w:ascii="Garamond" w:hAnsi="Garamond" w:cs="Times New Roman"/>
          <w:sz w:val="24"/>
          <w:szCs w:val="24"/>
        </w:rPr>
        <w:footnoteReference w:id="37"/>
      </w:r>
    </w:p>
    <w:p w:rsidR="00D81A50" w:rsidRPr="00DD79E1" w:rsidRDefault="00316CEF" w:rsidP="007C0A14">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 xml:space="preserve">Nazir </w:t>
      </w:r>
      <w:r w:rsidR="00013AC0" w:rsidRPr="00DD79E1">
        <w:rPr>
          <w:rFonts w:ascii="Garamond" w:hAnsi="Garamond" w:cs="Times New Roman"/>
          <w:sz w:val="24"/>
          <w:szCs w:val="24"/>
        </w:rPr>
        <w:t xml:space="preserve">merupakan </w:t>
      </w:r>
      <w:r w:rsidRPr="00DD79E1">
        <w:rPr>
          <w:rFonts w:ascii="Garamond" w:hAnsi="Garamond" w:cs="Times New Roman"/>
          <w:sz w:val="24"/>
          <w:szCs w:val="24"/>
        </w:rPr>
        <w:t>unsur penting</w:t>
      </w:r>
      <w:r w:rsidR="00013AC0" w:rsidRPr="00DD79E1">
        <w:rPr>
          <w:rFonts w:ascii="Garamond" w:hAnsi="Garamond" w:cs="Times New Roman"/>
          <w:sz w:val="24"/>
          <w:szCs w:val="24"/>
        </w:rPr>
        <w:t xml:space="preserve"> di dalam wakaf</w:t>
      </w:r>
      <w:r w:rsidRPr="00DD79E1">
        <w:rPr>
          <w:rFonts w:ascii="Garamond" w:hAnsi="Garamond" w:cs="Times New Roman"/>
          <w:sz w:val="24"/>
          <w:szCs w:val="24"/>
        </w:rPr>
        <w:t>.</w:t>
      </w:r>
      <w:proofErr w:type="gramEnd"/>
      <w:r w:rsidR="00013AC0" w:rsidRPr="00DD79E1">
        <w:rPr>
          <w:rFonts w:ascii="Garamond" w:hAnsi="Garamond" w:cs="Times New Roman"/>
          <w:sz w:val="24"/>
          <w:szCs w:val="24"/>
        </w:rPr>
        <w:t xml:space="preserve"> </w:t>
      </w:r>
      <w:proofErr w:type="gramStart"/>
      <w:r w:rsidR="00013AC0" w:rsidRPr="00DD79E1">
        <w:rPr>
          <w:rFonts w:ascii="Garamond" w:hAnsi="Garamond" w:cs="Times New Roman"/>
          <w:sz w:val="24"/>
          <w:szCs w:val="24"/>
        </w:rPr>
        <w:t>Karena, b</w:t>
      </w:r>
      <w:r w:rsidRPr="00DD79E1">
        <w:rPr>
          <w:rFonts w:ascii="Garamond" w:hAnsi="Garamond" w:cs="Times New Roman"/>
          <w:sz w:val="24"/>
          <w:szCs w:val="24"/>
        </w:rPr>
        <w:t>erfungsi atau tidaknya wakaf sangat tergantung pada kemampuan nadzir.</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Di berbagai negara yang wakafnya telah berkembang dan berfungsi</w:t>
      </w:r>
      <w:r w:rsidRPr="00DD79E1">
        <w:rPr>
          <w:rFonts w:ascii="Garamond" w:hAnsi="Garamond" w:cs="Times New Roman"/>
          <w:spacing w:val="-5"/>
          <w:w w:val="90"/>
          <w:sz w:val="24"/>
          <w:szCs w:val="24"/>
        </w:rPr>
        <w:t xml:space="preserve"> </w:t>
      </w:r>
      <w:r w:rsidRPr="00DD79E1">
        <w:rPr>
          <w:rFonts w:ascii="Garamond" w:hAnsi="Garamond" w:cs="Times New Roman"/>
          <w:sz w:val="24"/>
          <w:szCs w:val="24"/>
        </w:rPr>
        <w:t>untuk memberdayakan umat, wakaf dikelola oleh nadzir yang profesional.</w:t>
      </w:r>
      <w:proofErr w:type="gramEnd"/>
      <w:r w:rsidRPr="00DD79E1">
        <w:rPr>
          <w:rFonts w:ascii="Garamond" w:hAnsi="Garamond" w:cs="Times New Roman"/>
          <w:spacing w:val="-6"/>
          <w:w w:val="95"/>
          <w:sz w:val="24"/>
          <w:szCs w:val="24"/>
        </w:rPr>
        <w:t xml:space="preserve"> </w:t>
      </w:r>
      <w:proofErr w:type="gramStart"/>
      <w:r w:rsidR="00013AC0" w:rsidRPr="00DD79E1">
        <w:rPr>
          <w:rFonts w:ascii="Garamond" w:hAnsi="Garamond" w:cs="Times New Roman"/>
          <w:spacing w:val="-6"/>
          <w:w w:val="95"/>
          <w:sz w:val="24"/>
          <w:szCs w:val="24"/>
        </w:rPr>
        <w:t>W</w:t>
      </w:r>
      <w:r w:rsidRPr="00DD79E1">
        <w:rPr>
          <w:rFonts w:ascii="Garamond" w:hAnsi="Garamond" w:cs="Times New Roman"/>
          <w:sz w:val="24"/>
          <w:szCs w:val="24"/>
        </w:rPr>
        <w:t>akaf di Provinsi Lampung dikelola nazir yang belum</w:t>
      </w:r>
      <w:r w:rsidR="00013AC0" w:rsidRPr="00DD79E1">
        <w:rPr>
          <w:rFonts w:ascii="Garamond" w:hAnsi="Garamond" w:cs="Times New Roman"/>
          <w:sz w:val="24"/>
          <w:szCs w:val="24"/>
        </w:rPr>
        <w:t xml:space="preserve"> memiliki pemahaman yang cukup serta profesionalismenya masih kurang.</w:t>
      </w:r>
      <w:proofErr w:type="gramEnd"/>
      <w:r w:rsidR="00013AC0" w:rsidRPr="00DD79E1">
        <w:rPr>
          <w:rFonts w:ascii="Garamond" w:hAnsi="Garamond" w:cs="Times New Roman"/>
          <w:sz w:val="24"/>
          <w:szCs w:val="24"/>
        </w:rPr>
        <w:t xml:space="preserve"> </w:t>
      </w:r>
      <w:proofErr w:type="gramStart"/>
      <w:r w:rsidR="00013AC0" w:rsidRPr="00DD79E1">
        <w:rPr>
          <w:rFonts w:ascii="Garamond" w:hAnsi="Garamond" w:cs="Times New Roman"/>
          <w:sz w:val="24"/>
          <w:szCs w:val="24"/>
        </w:rPr>
        <w:t xml:space="preserve">Maka dari itu, </w:t>
      </w:r>
      <w:r w:rsidRPr="00DD79E1">
        <w:rPr>
          <w:rFonts w:ascii="Garamond" w:hAnsi="Garamond" w:cs="Times New Roman"/>
          <w:spacing w:val="-4"/>
          <w:w w:val="95"/>
          <w:sz w:val="24"/>
          <w:szCs w:val="24"/>
        </w:rPr>
        <w:t xml:space="preserve">nazir </w:t>
      </w:r>
      <w:r w:rsidR="00013AC0" w:rsidRPr="00DD79E1">
        <w:rPr>
          <w:rFonts w:ascii="Garamond" w:hAnsi="Garamond" w:cs="Times New Roman"/>
          <w:spacing w:val="-4"/>
          <w:w w:val="95"/>
          <w:sz w:val="24"/>
          <w:szCs w:val="24"/>
        </w:rPr>
        <w:t xml:space="preserve">harus memiliki kreativitas dan mampu mengelola wakaf produktif agar lebih berdampak pada peningkatan </w:t>
      </w:r>
      <w:r w:rsidR="00013AC0" w:rsidRPr="00DD79E1">
        <w:rPr>
          <w:rFonts w:ascii="Garamond" w:hAnsi="Garamond" w:cs="Times New Roman"/>
          <w:spacing w:val="-4"/>
          <w:w w:val="95"/>
          <w:sz w:val="24"/>
          <w:szCs w:val="24"/>
        </w:rPr>
        <w:lastRenderedPageBreak/>
        <w:t>kesejahteraan umat.</w:t>
      </w:r>
      <w:proofErr w:type="gramEnd"/>
      <w:r w:rsidR="007C0A14" w:rsidRPr="00DD79E1">
        <w:rPr>
          <w:rFonts w:ascii="Garamond" w:hAnsi="Garamond" w:cs="Times New Roman"/>
          <w:spacing w:val="-4"/>
          <w:w w:val="95"/>
          <w:sz w:val="24"/>
          <w:szCs w:val="24"/>
        </w:rPr>
        <w:t xml:space="preserve"> Sebagian nazhir juga </w:t>
      </w:r>
      <w:r w:rsidR="007C0A14" w:rsidRPr="00DD79E1">
        <w:rPr>
          <w:rFonts w:ascii="Garamond" w:hAnsi="Garamond" w:cs="Times New Roman"/>
          <w:sz w:val="24"/>
          <w:szCs w:val="24"/>
        </w:rPr>
        <w:t xml:space="preserve">kurang amanah dan justru tidak </w:t>
      </w:r>
      <w:proofErr w:type="gramStart"/>
      <w:r w:rsidR="007C0A14" w:rsidRPr="00DD79E1">
        <w:rPr>
          <w:rFonts w:ascii="Garamond" w:hAnsi="Garamond" w:cs="Times New Roman"/>
          <w:sz w:val="24"/>
          <w:szCs w:val="24"/>
        </w:rPr>
        <w:t xml:space="preserve">berhasil </w:t>
      </w:r>
      <w:r w:rsidRPr="00DD79E1">
        <w:rPr>
          <w:rFonts w:ascii="Garamond" w:hAnsi="Garamond" w:cs="Times New Roman"/>
          <w:sz w:val="24"/>
          <w:szCs w:val="24"/>
        </w:rPr>
        <w:t xml:space="preserve"> melindungi</w:t>
      </w:r>
      <w:proofErr w:type="gramEnd"/>
      <w:r w:rsidRPr="00DD79E1">
        <w:rPr>
          <w:rFonts w:ascii="Garamond" w:hAnsi="Garamond" w:cs="Times New Roman"/>
          <w:sz w:val="24"/>
          <w:szCs w:val="24"/>
        </w:rPr>
        <w:t xml:space="preserve"> harta wakaf.</w:t>
      </w:r>
      <w:r w:rsidRPr="00DD79E1">
        <w:rPr>
          <w:rStyle w:val="FootnoteReference"/>
          <w:rFonts w:ascii="Garamond" w:hAnsi="Garamond" w:cs="Times New Roman"/>
          <w:sz w:val="24"/>
          <w:szCs w:val="24"/>
        </w:rPr>
        <w:footnoteReference w:id="38"/>
      </w:r>
      <w:r w:rsidR="007C0A14" w:rsidRPr="00DD79E1">
        <w:rPr>
          <w:rFonts w:ascii="Garamond" w:hAnsi="Garamond" w:cs="Times New Roman"/>
          <w:sz w:val="24"/>
          <w:szCs w:val="24"/>
        </w:rPr>
        <w:t xml:space="preserve"> </w:t>
      </w:r>
      <w:proofErr w:type="gramStart"/>
      <w:r w:rsidR="007C0A14" w:rsidRPr="00DD79E1">
        <w:rPr>
          <w:rFonts w:ascii="Garamond" w:hAnsi="Garamond" w:cs="Times New Roman"/>
          <w:sz w:val="24"/>
          <w:szCs w:val="24"/>
        </w:rPr>
        <w:t>Padahal, peran nazhir sangat sentral dalam pemberdayaan wakaf</w:t>
      </w:r>
      <w:r w:rsidRPr="00DD79E1">
        <w:rPr>
          <w:rFonts w:ascii="Garamond" w:hAnsi="Garamond" w:cs="Times New Roman"/>
          <w:sz w:val="24"/>
          <w:szCs w:val="24"/>
        </w:rPr>
        <w:t>.</w:t>
      </w:r>
      <w:proofErr w:type="gramEnd"/>
      <w:r w:rsidRPr="00DD79E1">
        <w:rPr>
          <w:rStyle w:val="FootnoteReference"/>
          <w:rFonts w:ascii="Garamond" w:hAnsi="Garamond" w:cs="Times New Roman"/>
          <w:sz w:val="24"/>
          <w:szCs w:val="24"/>
        </w:rPr>
        <w:footnoteReference w:id="39"/>
      </w:r>
      <w:r w:rsidRPr="00DD79E1">
        <w:rPr>
          <w:rFonts w:ascii="Garamond" w:hAnsi="Garamond" w:cs="Times New Roman"/>
          <w:sz w:val="24"/>
          <w:szCs w:val="24"/>
        </w:rPr>
        <w:t xml:space="preserve"> </w:t>
      </w:r>
      <w:proofErr w:type="gramStart"/>
      <w:r w:rsidR="007C0A14" w:rsidRPr="00DD79E1">
        <w:rPr>
          <w:rFonts w:ascii="Garamond" w:hAnsi="Garamond" w:cs="Times New Roman"/>
          <w:sz w:val="24"/>
          <w:szCs w:val="24"/>
        </w:rPr>
        <w:t>N</w:t>
      </w:r>
      <w:r w:rsidRPr="00DD79E1">
        <w:rPr>
          <w:rFonts w:ascii="Garamond" w:hAnsi="Garamond" w:cs="Times New Roman"/>
          <w:sz w:val="24"/>
          <w:szCs w:val="24"/>
        </w:rPr>
        <w:t>adzir</w:t>
      </w:r>
      <w:r w:rsidR="007C0A14" w:rsidRPr="00DD79E1">
        <w:rPr>
          <w:rFonts w:ascii="Garamond" w:hAnsi="Garamond" w:cs="Times New Roman"/>
          <w:sz w:val="24"/>
          <w:szCs w:val="24"/>
        </w:rPr>
        <w:t xml:space="preserve"> memiliki kewajiban pengabdimistrasian yang bagus dan rapih, </w:t>
      </w:r>
      <w:r w:rsidRPr="00DD79E1">
        <w:rPr>
          <w:rFonts w:ascii="Garamond" w:hAnsi="Garamond" w:cs="Times New Roman"/>
          <w:sz w:val="24"/>
          <w:szCs w:val="24"/>
        </w:rPr>
        <w:t>mengawasi dan melindungi harta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Dengan demikian jelas bahwa berfungsi dan tidaknya suatu perwakafan sangat tergantung pada kemampuan nadzir.</w:t>
      </w:r>
      <w:proofErr w:type="gramEnd"/>
      <w:r w:rsidRPr="00DD79E1">
        <w:rPr>
          <w:rStyle w:val="FootnoteReference"/>
          <w:rFonts w:ascii="Garamond" w:hAnsi="Garamond" w:cs="Times New Roman"/>
          <w:sz w:val="24"/>
          <w:szCs w:val="24"/>
        </w:rPr>
        <w:footnoteReference w:id="40"/>
      </w:r>
      <w:r w:rsidRPr="00DD79E1">
        <w:rPr>
          <w:rFonts w:ascii="Garamond" w:hAnsi="Garamond" w:cs="Times New Roman"/>
          <w:sz w:val="24"/>
          <w:szCs w:val="24"/>
        </w:rPr>
        <w:t xml:space="preserve"> </w:t>
      </w:r>
    </w:p>
    <w:p w:rsidR="00D81A50" w:rsidRPr="00DD79E1" w:rsidRDefault="00316CEF" w:rsidP="00C2521F">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Keempat, pengawasan masih lemah.</w:t>
      </w:r>
      <w:proofErr w:type="gramEnd"/>
      <w:r w:rsidRPr="00DD79E1">
        <w:rPr>
          <w:rFonts w:ascii="Garamond" w:hAnsi="Garamond" w:cs="Times New Roman"/>
          <w:sz w:val="24"/>
          <w:szCs w:val="24"/>
        </w:rPr>
        <w:t xml:space="preserve"> </w:t>
      </w:r>
      <w:proofErr w:type="gramStart"/>
      <w:r w:rsidR="003249BB" w:rsidRPr="00DD79E1">
        <w:rPr>
          <w:rFonts w:ascii="Garamond" w:hAnsi="Garamond" w:cs="Times New Roman"/>
          <w:sz w:val="24"/>
          <w:szCs w:val="24"/>
        </w:rPr>
        <w:t>Padahal, p</w:t>
      </w:r>
      <w:r w:rsidRPr="00DD79E1">
        <w:rPr>
          <w:rFonts w:ascii="Garamond" w:hAnsi="Garamond" w:cs="Times New Roman"/>
          <w:sz w:val="24"/>
          <w:szCs w:val="24"/>
        </w:rPr>
        <w:t xml:space="preserve">engawasan </w:t>
      </w:r>
      <w:r w:rsidR="003249BB" w:rsidRPr="00DD79E1">
        <w:rPr>
          <w:rFonts w:ascii="Garamond" w:hAnsi="Garamond" w:cs="Times New Roman"/>
          <w:sz w:val="24"/>
          <w:szCs w:val="24"/>
        </w:rPr>
        <w:t>penting dilakukan, karena selama ini wakaf masih</w:t>
      </w:r>
      <w:r w:rsidRPr="00DD79E1">
        <w:rPr>
          <w:rFonts w:ascii="Garamond" w:hAnsi="Garamond" w:cs="Times New Roman"/>
          <w:sz w:val="24"/>
          <w:szCs w:val="24"/>
        </w:rPr>
        <w:t xml:space="preserve"> kurang mendapat pengawasan yang serius.</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Akibatnya, </w:t>
      </w:r>
      <w:r w:rsidR="00C2521F" w:rsidRPr="00DD79E1">
        <w:rPr>
          <w:rFonts w:ascii="Garamond" w:hAnsi="Garamond" w:cs="Times New Roman"/>
          <w:sz w:val="24"/>
          <w:szCs w:val="24"/>
        </w:rPr>
        <w:t xml:space="preserve">ada </w:t>
      </w:r>
      <w:r w:rsidRPr="00DD79E1">
        <w:rPr>
          <w:rFonts w:ascii="Garamond" w:hAnsi="Garamond" w:cs="Times New Roman"/>
          <w:sz w:val="24"/>
          <w:szCs w:val="24"/>
        </w:rPr>
        <w:t xml:space="preserve">harta wakaf yang telantar </w:t>
      </w:r>
      <w:r w:rsidR="00C2521F" w:rsidRPr="00DD79E1">
        <w:rPr>
          <w:rFonts w:ascii="Garamond" w:hAnsi="Garamond" w:cs="Times New Roman"/>
          <w:sz w:val="24"/>
          <w:szCs w:val="24"/>
        </w:rPr>
        <w:t>dan bahkan ada yang hilang</w:t>
      </w:r>
      <w:r w:rsidRPr="00DD79E1">
        <w:rPr>
          <w:rFonts w:ascii="Garamond" w:hAnsi="Garamond" w:cs="Times New Roman"/>
          <w:sz w:val="24"/>
          <w:szCs w:val="24"/>
        </w:rPr>
        <w:t>.</w:t>
      </w:r>
      <w:proofErr w:type="gramEnd"/>
      <w:r w:rsidRPr="00DD79E1">
        <w:rPr>
          <w:rStyle w:val="FootnoteReference"/>
          <w:rFonts w:ascii="Garamond" w:hAnsi="Garamond" w:cs="Times New Roman"/>
          <w:sz w:val="24"/>
          <w:szCs w:val="24"/>
        </w:rPr>
        <w:footnoteReference w:id="41"/>
      </w:r>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Setidaknya ada dua bentuk pengawasan yang </w:t>
      </w:r>
      <w:r w:rsidR="00C2521F" w:rsidRPr="00DD79E1">
        <w:rPr>
          <w:rFonts w:ascii="Garamond" w:hAnsi="Garamond" w:cs="Times New Roman"/>
          <w:sz w:val="24"/>
          <w:szCs w:val="24"/>
        </w:rPr>
        <w:t xml:space="preserve">perlu dilakukan </w:t>
      </w:r>
      <w:r w:rsidRPr="00DD79E1">
        <w:rPr>
          <w:rFonts w:ascii="Garamond" w:hAnsi="Garamond" w:cs="Times New Roman"/>
          <w:sz w:val="24"/>
          <w:szCs w:val="24"/>
        </w:rPr>
        <w:t>yaitu pengawasan masyarakat setempat dan pengawasan pemerintah yang kompeten.</w:t>
      </w:r>
      <w:proofErr w:type="gramEnd"/>
      <w:r w:rsidR="00C2521F" w:rsidRPr="00DD79E1">
        <w:rPr>
          <w:rFonts w:ascii="Garamond" w:hAnsi="Garamond" w:cs="Times New Roman"/>
          <w:sz w:val="24"/>
          <w:szCs w:val="24"/>
        </w:rPr>
        <w:t xml:space="preserve"> </w:t>
      </w:r>
      <w:proofErr w:type="gramStart"/>
      <w:r w:rsidR="00C2521F" w:rsidRPr="00DD79E1">
        <w:rPr>
          <w:rFonts w:ascii="Garamond" w:hAnsi="Garamond" w:cs="Times New Roman"/>
          <w:sz w:val="24"/>
          <w:szCs w:val="24"/>
        </w:rPr>
        <w:t xml:space="preserve">Biasanya, penyebab </w:t>
      </w:r>
      <w:r w:rsidRPr="00DD79E1">
        <w:rPr>
          <w:rFonts w:ascii="Garamond" w:hAnsi="Garamond" w:cs="Times New Roman"/>
          <w:sz w:val="24"/>
          <w:szCs w:val="24"/>
        </w:rPr>
        <w:t xml:space="preserve">hilangnya harta wakaf </w:t>
      </w:r>
      <w:r w:rsidR="00C2521F" w:rsidRPr="00DD79E1">
        <w:rPr>
          <w:rFonts w:ascii="Garamond" w:hAnsi="Garamond" w:cs="Times New Roman"/>
          <w:sz w:val="24"/>
          <w:szCs w:val="24"/>
        </w:rPr>
        <w:t>karena control yang lemah.</w:t>
      </w:r>
      <w:proofErr w:type="gramEnd"/>
      <w:r w:rsidR="00C2521F" w:rsidRPr="00DD79E1">
        <w:rPr>
          <w:rFonts w:ascii="Garamond" w:hAnsi="Garamond" w:cs="Times New Roman"/>
          <w:sz w:val="24"/>
          <w:szCs w:val="24"/>
        </w:rPr>
        <w:t xml:space="preserve"> </w:t>
      </w:r>
    </w:p>
    <w:p w:rsidR="00B84B15" w:rsidRPr="00DD79E1" w:rsidRDefault="00C2521F" w:rsidP="00D81A50">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 xml:space="preserve">Pengawasan wakaf sebenarnya sudah </w:t>
      </w:r>
      <w:r w:rsidR="00316CEF" w:rsidRPr="00DD79E1">
        <w:rPr>
          <w:rFonts w:ascii="Garamond" w:hAnsi="Garamond" w:cs="Times New Roman"/>
          <w:sz w:val="24"/>
          <w:szCs w:val="24"/>
        </w:rPr>
        <w:t>diatur dalam Pasal 63 ayat (1)</w:t>
      </w:r>
      <w:r w:rsidRPr="00DD79E1">
        <w:rPr>
          <w:rFonts w:ascii="Garamond" w:hAnsi="Garamond" w:cs="Times New Roman"/>
          <w:sz w:val="24"/>
          <w:szCs w:val="24"/>
        </w:rPr>
        <w:t xml:space="preserve">, </w:t>
      </w:r>
      <w:r w:rsidR="00316CEF" w:rsidRPr="00DD79E1">
        <w:rPr>
          <w:rFonts w:ascii="Garamond" w:hAnsi="Garamond" w:cs="Times New Roman"/>
          <w:sz w:val="24"/>
          <w:szCs w:val="24"/>
        </w:rPr>
        <w:t xml:space="preserve">bahwa </w:t>
      </w:r>
      <w:r w:rsidRPr="00DD79E1">
        <w:rPr>
          <w:rFonts w:ascii="Garamond" w:hAnsi="Garamond" w:cs="Times New Roman"/>
          <w:sz w:val="24"/>
          <w:szCs w:val="24"/>
        </w:rPr>
        <w:t>m</w:t>
      </w:r>
      <w:r w:rsidR="00316CEF" w:rsidRPr="00DD79E1">
        <w:rPr>
          <w:rFonts w:ascii="Garamond" w:hAnsi="Garamond" w:cs="Times New Roman"/>
          <w:sz w:val="24"/>
          <w:szCs w:val="24"/>
        </w:rPr>
        <w:t>enteri melakukan pembinaan dan pengawasan terhadap penyelenggaraan wakaf untuk mewujudkan tujuan dan fungsi wakaf.</w:t>
      </w:r>
      <w:proofErr w:type="gramEnd"/>
      <w:r w:rsidR="00316CEF" w:rsidRPr="00DD79E1">
        <w:rPr>
          <w:rFonts w:ascii="Garamond" w:hAnsi="Garamond" w:cs="Times New Roman"/>
          <w:sz w:val="24"/>
          <w:szCs w:val="24"/>
        </w:rPr>
        <w:t xml:space="preserve"> Kemudian dalam ayat (3) pasal yang </w:t>
      </w:r>
      <w:proofErr w:type="gramStart"/>
      <w:r w:rsidR="00316CEF" w:rsidRPr="00DD79E1">
        <w:rPr>
          <w:rFonts w:ascii="Garamond" w:hAnsi="Garamond" w:cs="Times New Roman"/>
          <w:sz w:val="24"/>
          <w:szCs w:val="24"/>
        </w:rPr>
        <w:t>sama</w:t>
      </w:r>
      <w:proofErr w:type="gramEnd"/>
      <w:r w:rsidR="00316CEF" w:rsidRPr="00DD79E1">
        <w:rPr>
          <w:rFonts w:ascii="Garamond" w:hAnsi="Garamond" w:cs="Times New Roman"/>
          <w:sz w:val="24"/>
          <w:szCs w:val="24"/>
        </w:rPr>
        <w:t xml:space="preserve"> disebutkan bahwa pembinaan dan pengawasan sebagaimana dimaksud pada ayat (1) dan ayat (2) dilakukan dengan memperhatikan saran dan pertimbangan</w:t>
      </w:r>
      <w:r w:rsidRPr="00DD79E1">
        <w:rPr>
          <w:rFonts w:ascii="Garamond" w:hAnsi="Garamond" w:cs="Times New Roman"/>
          <w:sz w:val="24"/>
          <w:szCs w:val="24"/>
        </w:rPr>
        <w:t xml:space="preserve"> MUI</w:t>
      </w:r>
      <w:r w:rsidR="00316CEF" w:rsidRPr="00DD79E1">
        <w:rPr>
          <w:rFonts w:ascii="Garamond" w:hAnsi="Garamond" w:cs="Times New Roman"/>
          <w:sz w:val="24"/>
          <w:szCs w:val="24"/>
        </w:rPr>
        <w:t>.</w:t>
      </w:r>
      <w:r w:rsidR="00316CEF" w:rsidRPr="00DD79E1">
        <w:rPr>
          <w:rFonts w:ascii="Garamond" w:hAnsi="Garamond" w:cs="Times New Roman"/>
          <w:spacing w:val="-5"/>
          <w:w w:val="90"/>
          <w:sz w:val="24"/>
          <w:szCs w:val="24"/>
        </w:rPr>
        <w:t xml:space="preserve"> </w:t>
      </w:r>
      <w:proofErr w:type="gramStart"/>
      <w:r w:rsidR="00316CEF" w:rsidRPr="00DD79E1">
        <w:rPr>
          <w:rFonts w:ascii="Garamond" w:hAnsi="Garamond" w:cs="Times New Roman"/>
          <w:sz w:val="24"/>
          <w:szCs w:val="24"/>
        </w:rPr>
        <w:t xml:space="preserve">Kemudian dalam Pasal 65 disebutkan </w:t>
      </w:r>
      <w:r w:rsidRPr="00DD79E1">
        <w:rPr>
          <w:rFonts w:ascii="Garamond" w:hAnsi="Garamond" w:cs="Times New Roman"/>
          <w:sz w:val="24"/>
          <w:szCs w:val="24"/>
        </w:rPr>
        <w:t>m</w:t>
      </w:r>
      <w:r w:rsidR="00316CEF" w:rsidRPr="00DD79E1">
        <w:rPr>
          <w:rFonts w:ascii="Garamond" w:hAnsi="Garamond" w:cs="Times New Roman"/>
          <w:sz w:val="24"/>
          <w:szCs w:val="24"/>
        </w:rPr>
        <w:t>enteri dapat menggunakan akuntan publik.</w:t>
      </w:r>
      <w:proofErr w:type="gramEnd"/>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Masalah pengawasan ini lebih lanjut diatur dalam PP No. 42 Tahun 2006 tentang Pelaksanaan</w:t>
      </w:r>
      <w:r w:rsidRPr="00DD79E1">
        <w:rPr>
          <w:rFonts w:ascii="Garamond" w:hAnsi="Garamond" w:cs="Times New Roman"/>
          <w:sz w:val="24"/>
          <w:szCs w:val="24"/>
        </w:rPr>
        <w:t xml:space="preserve"> UU </w:t>
      </w:r>
      <w:r w:rsidR="00316CEF" w:rsidRPr="00DD79E1">
        <w:rPr>
          <w:rFonts w:ascii="Garamond" w:hAnsi="Garamond" w:cs="Times New Roman"/>
          <w:sz w:val="24"/>
          <w:szCs w:val="24"/>
        </w:rPr>
        <w:t>No. 41 Tahun 2004 tentang Wakaf.</w:t>
      </w:r>
      <w:proofErr w:type="gramEnd"/>
      <w:r w:rsidR="00B84B15"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Problem perwakafan di Provinsi Lampung tersebut sudah lama terjadi dan menimbulkan konflik di masyarakat yang berakibat pada pengelolaan wakaf belum maksimal.</w:t>
      </w:r>
      <w:proofErr w:type="gramEnd"/>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Untuk itu, perlu dicarikan solusi dalam menyelesaikan problem dan konflik tersebut agar wakaf di Provinsi Lampung semakin produktif dan mampu memberdayakan ekonomi umat Islam di Provinsi Lampung.</w:t>
      </w:r>
      <w:proofErr w:type="gramEnd"/>
      <w:r w:rsidR="00316CEF" w:rsidRPr="00DD79E1">
        <w:rPr>
          <w:rFonts w:ascii="Garamond" w:hAnsi="Garamond" w:cs="Times New Roman"/>
          <w:sz w:val="24"/>
          <w:szCs w:val="24"/>
        </w:rPr>
        <w:t xml:space="preserve"> </w:t>
      </w:r>
    </w:p>
    <w:p w:rsidR="00D81A50" w:rsidRPr="00DD79E1" w:rsidRDefault="00316CEF" w:rsidP="00D81A50">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Sedangkan di Sumatera Selatan, pengelolaan wakaf juga menghadapi sejumlah problem.</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Akibat problem tersebut harta wakaf belum maksimal dalam pemberdayaan ekonomi umat di Sumatera Selatan.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Problem yang ada saat ini perlu segera dicarikan solusinya agar wakaf benar-benar bisa menjadi salah satu jalan menyejahterakan umat Islam, khususnya di Sumatera Selatan.</w:t>
      </w:r>
      <w:proofErr w:type="gramEnd"/>
      <w:r w:rsidRPr="00DD79E1">
        <w:rPr>
          <w:rFonts w:ascii="Garamond" w:hAnsi="Garamond" w:cs="Times New Roman"/>
          <w:sz w:val="24"/>
          <w:szCs w:val="24"/>
        </w:rPr>
        <w:t xml:space="preserve"> Problem-problem tersebut antara </w:t>
      </w:r>
      <w:proofErr w:type="gramStart"/>
      <w:r w:rsidRPr="00DD79E1">
        <w:rPr>
          <w:rFonts w:ascii="Garamond" w:hAnsi="Garamond" w:cs="Times New Roman"/>
          <w:sz w:val="24"/>
          <w:szCs w:val="24"/>
        </w:rPr>
        <w:t>lain :</w:t>
      </w:r>
      <w:proofErr w:type="gramEnd"/>
      <w:r w:rsidR="00D81A50" w:rsidRPr="00DD79E1">
        <w:rPr>
          <w:rFonts w:ascii="Garamond" w:hAnsi="Garamond" w:cs="Times New Roman"/>
          <w:sz w:val="24"/>
          <w:szCs w:val="24"/>
        </w:rPr>
        <w:t xml:space="preserve"> </w:t>
      </w:r>
      <w:r w:rsidRPr="00DD79E1">
        <w:rPr>
          <w:rFonts w:ascii="Garamond" w:hAnsi="Garamond" w:cs="Times New Roman"/>
          <w:i/>
          <w:sz w:val="24"/>
          <w:szCs w:val="24"/>
        </w:rPr>
        <w:t>Pertama,</w:t>
      </w:r>
      <w:r w:rsidRPr="00DD79E1">
        <w:rPr>
          <w:rFonts w:ascii="Garamond" w:hAnsi="Garamond" w:cs="Times New Roman"/>
          <w:sz w:val="24"/>
          <w:szCs w:val="24"/>
        </w:rPr>
        <w:t xml:space="preserve"> sumber daya nazhir. </w:t>
      </w:r>
      <w:proofErr w:type="gramStart"/>
      <w:r w:rsidR="004F3046" w:rsidRPr="00DD79E1">
        <w:rPr>
          <w:rFonts w:ascii="Garamond" w:hAnsi="Garamond" w:cs="Times New Roman"/>
          <w:sz w:val="24"/>
          <w:szCs w:val="24"/>
        </w:rPr>
        <w:t xml:space="preserve">Kedepan, di Sumatera Selatan harus massif </w:t>
      </w:r>
      <w:r w:rsidRPr="00DD79E1">
        <w:rPr>
          <w:rFonts w:ascii="Garamond" w:hAnsi="Garamond" w:cs="Times New Roman"/>
          <w:sz w:val="24"/>
          <w:szCs w:val="24"/>
        </w:rPr>
        <w:t>sertifikasi nazhir.</w:t>
      </w:r>
      <w:proofErr w:type="gramEnd"/>
      <w:r w:rsidRPr="00DD79E1">
        <w:rPr>
          <w:rStyle w:val="FootnoteReference"/>
          <w:rFonts w:ascii="Garamond" w:hAnsi="Garamond" w:cs="Times New Roman"/>
          <w:sz w:val="24"/>
          <w:szCs w:val="24"/>
        </w:rPr>
        <w:footnoteReference w:id="42"/>
      </w:r>
      <w:r w:rsidRPr="00DD79E1">
        <w:rPr>
          <w:rFonts w:ascii="Garamond" w:hAnsi="Garamond" w:cs="Times New Roman"/>
          <w:sz w:val="24"/>
          <w:szCs w:val="24"/>
        </w:rPr>
        <w:t xml:space="preserve"> </w:t>
      </w:r>
      <w:proofErr w:type="gramStart"/>
      <w:r w:rsidR="00926621" w:rsidRPr="00DD79E1">
        <w:rPr>
          <w:rFonts w:ascii="Garamond" w:hAnsi="Garamond" w:cs="Times New Roman"/>
          <w:sz w:val="24"/>
          <w:szCs w:val="24"/>
        </w:rPr>
        <w:t xml:space="preserve">Karena, </w:t>
      </w:r>
      <w:r w:rsidRPr="00DD79E1">
        <w:rPr>
          <w:rFonts w:ascii="Garamond" w:hAnsi="Garamond" w:cs="Times New Roman"/>
          <w:sz w:val="24"/>
          <w:szCs w:val="24"/>
        </w:rPr>
        <w:t>tujuan</w:t>
      </w:r>
      <w:r w:rsidR="00926621" w:rsidRPr="00DD79E1">
        <w:rPr>
          <w:rFonts w:ascii="Garamond" w:hAnsi="Garamond" w:cs="Times New Roman"/>
          <w:sz w:val="24"/>
          <w:szCs w:val="24"/>
        </w:rPr>
        <w:t xml:space="preserve"> dari wakaf </w:t>
      </w:r>
      <w:r w:rsidR="00926621" w:rsidRPr="00DD79E1">
        <w:rPr>
          <w:rFonts w:ascii="Garamond" w:hAnsi="Garamond" w:cs="Times New Roman"/>
          <w:sz w:val="24"/>
          <w:szCs w:val="24"/>
        </w:rPr>
        <w:lastRenderedPageBreak/>
        <w:t xml:space="preserve">dapat tercapai jika nazhir memiliki kemampuan </w:t>
      </w:r>
      <w:r w:rsidRPr="00DD79E1">
        <w:rPr>
          <w:rFonts w:ascii="Garamond" w:hAnsi="Garamond" w:cs="Times New Roman"/>
          <w:sz w:val="24"/>
          <w:szCs w:val="24"/>
        </w:rPr>
        <w:t>melestarikan harta pokok wakaf, mengembangkanya dan mendistribusikan hasil pengelolaan wakaf.</w:t>
      </w:r>
      <w:proofErr w:type="gramEnd"/>
      <w:r w:rsidRPr="00DD79E1">
        <w:rPr>
          <w:rFonts w:ascii="Garamond" w:hAnsi="Garamond" w:cs="Times New Roman"/>
          <w:sz w:val="24"/>
          <w:szCs w:val="24"/>
        </w:rPr>
        <w:t xml:space="preserve"> </w:t>
      </w:r>
    </w:p>
    <w:p w:rsidR="00D81A50" w:rsidRPr="00DD79E1" w:rsidRDefault="00316CEF" w:rsidP="005C7DB4">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Kedua, kurangnya literasi wakaf.</w:t>
      </w:r>
      <w:proofErr w:type="gramEnd"/>
      <w:r w:rsidRPr="00DD79E1">
        <w:rPr>
          <w:rFonts w:ascii="Garamond" w:hAnsi="Garamond" w:cs="Times New Roman"/>
          <w:sz w:val="24"/>
          <w:szCs w:val="24"/>
        </w:rPr>
        <w:t xml:space="preserve"> Menurut Ketua Badan Wakah Sumatera Selatan, Deni Priansyah, literasi wakaf di Sumatera Selatan juga kurang, sehingga wakaf masih dipandang sebagai sebuah ibadah yang identik dengan 3M (makam, masjid. madrasah). </w:t>
      </w:r>
      <w:proofErr w:type="gramStart"/>
      <w:r w:rsidRPr="00DD79E1">
        <w:rPr>
          <w:rFonts w:ascii="Garamond" w:hAnsi="Garamond" w:cs="Times New Roman"/>
          <w:sz w:val="24"/>
          <w:szCs w:val="24"/>
        </w:rPr>
        <w:t>Bahkan, sebagian besar wakaf dilakukan kepada yayasan sehingga manfaatnya tidak merata kepada umat Islam, melainkan menumpuk kepada pengelola yayasan.</w:t>
      </w:r>
      <w:proofErr w:type="gramEnd"/>
      <w:r w:rsidR="00D81A50" w:rsidRPr="00DD79E1">
        <w:rPr>
          <w:rFonts w:ascii="Garamond" w:hAnsi="Garamond" w:cs="Times New Roman"/>
          <w:sz w:val="24"/>
          <w:szCs w:val="24"/>
        </w:rPr>
        <w:t xml:space="preserve"> </w:t>
      </w:r>
      <w:proofErr w:type="gramStart"/>
      <w:r w:rsidRPr="00DD79E1">
        <w:rPr>
          <w:rFonts w:ascii="Garamond" w:hAnsi="Garamond" w:cs="Times New Roman"/>
          <w:sz w:val="24"/>
          <w:szCs w:val="24"/>
        </w:rPr>
        <w:t>Kurangnya literasi masyarakat terkait wakaf, menyebabkan wakaf masih dipandang sebelah mata.</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Salah satu faktor utama yang menyebabkan tingginya kesenjangan antara potensi dan realisasi wakaf adalah masih rendahnya tingkat literasi wakaf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Ini berarti tingkat pemahaman publik terhadap wakaf masih perlu diperbaiki dan ditingkatkan.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Karena itu, penguatan program literasi menjadi kata kunci yang perlu mendapat perhatian seluruh pegiat perwakafan di Sumatera Selatan.</w:t>
      </w:r>
      <w:proofErr w:type="gramEnd"/>
      <w:r w:rsidRPr="00DD79E1">
        <w:rPr>
          <w:rStyle w:val="FootnoteReference"/>
          <w:rFonts w:ascii="Garamond" w:hAnsi="Garamond" w:cs="Times New Roman"/>
          <w:sz w:val="24"/>
          <w:szCs w:val="24"/>
        </w:rPr>
        <w:footnoteReference w:id="43"/>
      </w:r>
      <w:r w:rsidR="005C7DB4" w:rsidRPr="00DD79E1">
        <w:rPr>
          <w:rFonts w:ascii="Garamond" w:hAnsi="Garamond" w:cs="Times New Roman"/>
          <w:sz w:val="24"/>
          <w:szCs w:val="24"/>
        </w:rPr>
        <w:t xml:space="preserve"> </w:t>
      </w:r>
      <w:proofErr w:type="gramStart"/>
      <w:r w:rsidR="005C7DB4" w:rsidRPr="00DD79E1">
        <w:rPr>
          <w:rFonts w:ascii="Garamond" w:hAnsi="Garamond" w:cs="Times New Roman"/>
          <w:sz w:val="24"/>
          <w:szCs w:val="24"/>
        </w:rPr>
        <w:t xml:space="preserve">Baik literasi </w:t>
      </w:r>
      <w:r w:rsidRPr="00DD79E1">
        <w:rPr>
          <w:rFonts w:ascii="Garamond" w:hAnsi="Garamond" w:cs="Times New Roman"/>
          <w:sz w:val="24"/>
          <w:szCs w:val="24"/>
        </w:rPr>
        <w:t>harta obyek wakaf, peruntukan harta benda wakaf, dan literasi kelembagaan wakaf.</w:t>
      </w:r>
      <w:proofErr w:type="gramEnd"/>
      <w:r w:rsidRPr="00DD79E1">
        <w:rPr>
          <w:rFonts w:ascii="Garamond" w:hAnsi="Garamond" w:cs="Times New Roman"/>
          <w:sz w:val="24"/>
          <w:szCs w:val="24"/>
        </w:rPr>
        <w:t xml:space="preserve"> </w:t>
      </w:r>
    </w:p>
    <w:p w:rsidR="00316CEF" w:rsidRPr="00DD79E1" w:rsidRDefault="00316CEF" w:rsidP="00D81A50">
      <w:pPr>
        <w:autoSpaceDE w:val="0"/>
        <w:autoSpaceDN w:val="0"/>
        <w:adjustRightInd w:val="0"/>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Ketiga, dukungan pemerintah dan masyarakat masih kurang.</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Problem selanjutnya yang dihadapi BWI Sumsel dalam pengelolaan wakaf adalah masih kurangnya dukungan pemerintah dan pihak terkait.</w:t>
      </w:r>
      <w:proofErr w:type="gramEnd"/>
      <w:r w:rsidRPr="00DD79E1">
        <w:rPr>
          <w:rFonts w:ascii="Garamond" w:hAnsi="Garamond" w:cs="Times New Roman"/>
          <w:sz w:val="24"/>
          <w:szCs w:val="24"/>
        </w:rPr>
        <w:t xml:space="preserve"> Hal itu dapat dilihat dari BWI Sumsel yang belum memiliki </w:t>
      </w:r>
      <w:proofErr w:type="gramStart"/>
      <w:r w:rsidRPr="00DD79E1">
        <w:rPr>
          <w:rFonts w:ascii="Garamond" w:hAnsi="Garamond" w:cs="Times New Roman"/>
          <w:sz w:val="24"/>
          <w:szCs w:val="24"/>
        </w:rPr>
        <w:t>kantor</w:t>
      </w:r>
      <w:proofErr w:type="gramEnd"/>
      <w:r w:rsidRPr="00DD79E1">
        <w:rPr>
          <w:rFonts w:ascii="Garamond" w:hAnsi="Garamond" w:cs="Times New Roman"/>
          <w:sz w:val="24"/>
          <w:szCs w:val="24"/>
        </w:rPr>
        <w:t xml:space="preserve"> yang reprsentatif serta anggaran operasional. </w:t>
      </w:r>
      <w:proofErr w:type="gramStart"/>
      <w:r w:rsidRPr="00DD79E1">
        <w:rPr>
          <w:rFonts w:ascii="Garamond" w:hAnsi="Garamond" w:cs="Times New Roman"/>
          <w:sz w:val="24"/>
          <w:szCs w:val="24"/>
        </w:rPr>
        <w:t>Menurut Ketua Badan Wakaf Sumatera Selatan, pihaknya sebenarnya memiliki program wakaf yang sangat luar biasa, yakni wakaf PNS.</w:t>
      </w:r>
      <w:proofErr w:type="gramEnd"/>
      <w:r w:rsidRPr="00DD79E1">
        <w:rPr>
          <w:rFonts w:ascii="Garamond" w:hAnsi="Garamond" w:cs="Times New Roman"/>
          <w:sz w:val="24"/>
          <w:szCs w:val="24"/>
        </w:rPr>
        <w:t xml:space="preserve"> Namun, saat ini masih menunggu </w:t>
      </w:r>
      <w:proofErr w:type="gramStart"/>
      <w:r w:rsidRPr="00DD79E1">
        <w:rPr>
          <w:rFonts w:ascii="Garamond" w:hAnsi="Garamond" w:cs="Times New Roman"/>
          <w:sz w:val="24"/>
          <w:szCs w:val="24"/>
        </w:rPr>
        <w:t>surat</w:t>
      </w:r>
      <w:proofErr w:type="gramEnd"/>
      <w:r w:rsidRPr="00DD79E1">
        <w:rPr>
          <w:rFonts w:ascii="Garamond" w:hAnsi="Garamond" w:cs="Times New Roman"/>
          <w:sz w:val="24"/>
          <w:szCs w:val="24"/>
        </w:rPr>
        <w:t xml:space="preserve"> dari Gubernur Sumatera Selatan untuk ditembuskan kepada pemerintah kabupaten/ kota se Sumatera Selatan.</w:t>
      </w:r>
      <w:r w:rsidR="00D81A50" w:rsidRPr="00DD79E1">
        <w:rPr>
          <w:rFonts w:ascii="Garamond" w:hAnsi="Garamond" w:cs="Times New Roman"/>
          <w:sz w:val="24"/>
          <w:szCs w:val="24"/>
        </w:rPr>
        <w:t xml:space="preserve"> </w:t>
      </w:r>
      <w:proofErr w:type="gramStart"/>
      <w:r w:rsidRPr="00DD79E1">
        <w:rPr>
          <w:rFonts w:ascii="Garamond" w:hAnsi="Garamond" w:cs="Times New Roman"/>
          <w:sz w:val="24"/>
          <w:szCs w:val="24"/>
        </w:rPr>
        <w:t>Sehingga, jika pemerintah daerah memberikan dukungan, ditambah dengan stakeholder terkait serta masyarakat maka optimalisasi wakaf di Sumatera Selatan bisa dilaksanakan.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Menurutnya, saat ini BWI Sumsel baru mendapatkan wakaf uang sebesari Rp.400 juta dari masyarakat.</w:t>
      </w:r>
      <w:proofErr w:type="gramEnd"/>
      <w:r w:rsidRPr="00DD79E1">
        <w:rPr>
          <w:rFonts w:ascii="Garamond" w:hAnsi="Garamond" w:cs="Times New Roman"/>
          <w:sz w:val="24"/>
          <w:szCs w:val="24"/>
        </w:rPr>
        <w:t xml:space="preserve"> Kemudian, mendapat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hibah dari Kementerian Agama Rp.100 juta. Maka dari itu, jika pemerintah dan seluruh lapisan masyarakat memberikan dukungan pada program wakaf ini </w:t>
      </w:r>
      <w:proofErr w:type="gramStart"/>
      <w:r w:rsidRPr="00DD79E1">
        <w:rPr>
          <w:rFonts w:ascii="Garamond" w:hAnsi="Garamond" w:cs="Times New Roman"/>
          <w:sz w:val="24"/>
          <w:szCs w:val="24"/>
        </w:rPr>
        <w:t>akan</w:t>
      </w:r>
      <w:proofErr w:type="gramEnd"/>
      <w:r w:rsidRPr="00DD79E1">
        <w:rPr>
          <w:rFonts w:ascii="Garamond" w:hAnsi="Garamond" w:cs="Times New Roman"/>
          <w:sz w:val="24"/>
          <w:szCs w:val="24"/>
        </w:rPr>
        <w:t xml:space="preserve"> semakin efektif.</w:t>
      </w:r>
    </w:p>
    <w:p w:rsidR="00316CEF" w:rsidRPr="00DD79E1" w:rsidRDefault="00316CEF" w:rsidP="00C2300E">
      <w:pPr>
        <w:spacing w:after="0" w:line="240" w:lineRule="auto"/>
        <w:jc w:val="both"/>
        <w:rPr>
          <w:rFonts w:ascii="Garamond" w:hAnsi="Garamond" w:cs="Times New Roman"/>
          <w:b/>
          <w:bCs/>
          <w:sz w:val="24"/>
          <w:szCs w:val="24"/>
        </w:rPr>
      </w:pPr>
      <w:r w:rsidRPr="00DD79E1">
        <w:rPr>
          <w:rFonts w:ascii="Garamond" w:hAnsi="Garamond" w:cs="Times New Roman"/>
          <w:b/>
          <w:bCs/>
          <w:sz w:val="24"/>
          <w:szCs w:val="24"/>
        </w:rPr>
        <w:t xml:space="preserve">Pembaruan Hukum Wakaf Dalam Penyelesaian Problematika Perwakafan Modern </w:t>
      </w:r>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bCs/>
          <w:sz w:val="24"/>
          <w:szCs w:val="24"/>
        </w:rPr>
        <w:t>Penyelesaian terhadap problematika perwakafan bisa dilakukan dengan membangun tata kelola perwakafan dengan langkah-langkah serius dan menyeluruh agar fungsi wakaf untuk menyejahterakan ekonomi umat bisa terwujud.</w:t>
      </w:r>
      <w:proofErr w:type="gramEnd"/>
      <w:r w:rsidRPr="00DD79E1">
        <w:rPr>
          <w:rFonts w:ascii="Garamond" w:hAnsi="Garamond" w:cs="Times New Roman"/>
          <w:bCs/>
          <w:sz w:val="24"/>
          <w:szCs w:val="24"/>
        </w:rPr>
        <w:t xml:space="preserve"> </w:t>
      </w:r>
      <w:proofErr w:type="gramStart"/>
      <w:r w:rsidRPr="00DD79E1">
        <w:rPr>
          <w:rFonts w:ascii="Garamond" w:hAnsi="Garamond" w:cs="Times New Roman"/>
          <w:bCs/>
          <w:sz w:val="24"/>
          <w:szCs w:val="24"/>
        </w:rPr>
        <w:t xml:space="preserve">Langkah-langkah yang harus dilakukan dengan </w:t>
      </w:r>
      <w:r w:rsidRPr="00DD79E1">
        <w:rPr>
          <w:rFonts w:ascii="Garamond" w:hAnsi="Garamond" w:cs="Times New Roman"/>
          <w:bCs/>
          <w:iCs/>
          <w:sz w:val="24"/>
          <w:szCs w:val="24"/>
        </w:rPr>
        <w:t>pembaruan hukum wakaf.</w:t>
      </w:r>
      <w:proofErr w:type="gramEnd"/>
      <w:r w:rsidRPr="00DD79E1">
        <w:rPr>
          <w:rFonts w:ascii="Garamond" w:hAnsi="Garamond" w:cs="Times New Roman"/>
          <w:bCs/>
          <w:iCs/>
          <w:sz w:val="24"/>
          <w:szCs w:val="24"/>
        </w:rPr>
        <w:t xml:space="preserve"> </w:t>
      </w:r>
      <w:proofErr w:type="gramStart"/>
      <w:r w:rsidRPr="00DD79E1">
        <w:rPr>
          <w:rFonts w:ascii="Garamond" w:hAnsi="Garamond" w:cs="Times New Roman"/>
          <w:sz w:val="24"/>
          <w:szCs w:val="24"/>
        </w:rPr>
        <w:t>Wakaf di Indonesia telah dilegalkan praktiknya sejak terbitnya peraturan perundang-undangan yang mengatur tentang wakaf.</w:t>
      </w:r>
      <w:proofErr w:type="gramEnd"/>
      <w:r w:rsidRPr="00DD79E1">
        <w:rPr>
          <w:rFonts w:ascii="Garamond" w:hAnsi="Garamond" w:cs="Times New Roman"/>
          <w:sz w:val="24"/>
          <w:szCs w:val="24"/>
        </w:rPr>
        <w:t xml:space="preserve"> Antara lain Undang-Undang Nomor 41 Tahun 2004 tentang Wakaf, Peraturan Pemerintah Nomor 46 Tahun 2006 tentang Pelaksanaan UU Nomor 41 Tahun 2004, Intruksi Presiden Nomor 1 Tentang Kompilasi Hukum Islam (KHI), Peraturan Menteri </w:t>
      </w:r>
      <w:r w:rsidRPr="00DD79E1">
        <w:rPr>
          <w:rFonts w:ascii="Garamond" w:hAnsi="Garamond" w:cs="Times New Roman"/>
          <w:sz w:val="24"/>
          <w:szCs w:val="24"/>
        </w:rPr>
        <w:lastRenderedPageBreak/>
        <w:t xml:space="preserve">Agama Republik Indonesia Nomor 4 Tahun 2009 tentang Pengelolaan Pendaftaran Wakaf Tunai, Peraturan BWI Nomor 2 Tahun 2009 tentang Pedoman Penerimaan Wakaf Tunai Bagi Nazir BWI dan Peraturan BWI Nomor 2 Tahun 2010 tentang Tata Cara Pendaftaran Nazir Wakaf Tunai. </w:t>
      </w:r>
      <w:proofErr w:type="gramStart"/>
      <w:r w:rsidRPr="00DD79E1">
        <w:rPr>
          <w:rFonts w:ascii="Garamond" w:hAnsi="Garamond" w:cs="Times New Roman"/>
          <w:sz w:val="24"/>
          <w:szCs w:val="24"/>
        </w:rPr>
        <w:t>Selain undang-undang dan peraturan pemerintah, hukum wakaf di Indonesia dikuatkan oleh adanya Fatwa Majelis Ulama Indonesia tanggal 11 Mei Tahun 2002.</w:t>
      </w:r>
      <w:proofErr w:type="gramEnd"/>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Pengaturan wakaf yang ada dalam regulasi tersebut sudah cukup baik dalam rangka optimalisasi wakaf di Indonesia.</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Akan tetapi belum semuanya dijalankan sehingga pendapatan dan penyaluran wakaf di Indonesia belum mampu menyejahterakan perekonomian umat Islam.</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Tata kelola perkafan di Indonesia juga masih belum efektif dan efisien sehingga tujuan mulia dari wakaf belum sepenuhnya terealisasi.</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Untuk itu perlu dibangun tata kelola perwakafan di Indonesia agar terciptanya kesejahteraan umat.</w:t>
      </w:r>
      <w:proofErr w:type="gramEnd"/>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Tata kelola perwakafan di Indonesia merupakan bagian penting dalam pengelolaan kekayaan dan aset yang diperuntukkan bagi kepentingan sosial, keagamaan, dan kemanusiaan.</w:t>
      </w:r>
      <w:proofErr w:type="gramEnd"/>
      <w:r w:rsidRPr="00DD79E1">
        <w:rPr>
          <w:rFonts w:ascii="Garamond" w:hAnsi="Garamond" w:cs="Times New Roman"/>
          <w:sz w:val="24"/>
          <w:szCs w:val="24"/>
        </w:rPr>
        <w:t xml:space="preserve"> Tata kelola yang baik </w:t>
      </w:r>
      <w:proofErr w:type="gramStart"/>
      <w:r w:rsidRPr="00DD79E1">
        <w:rPr>
          <w:rFonts w:ascii="Garamond" w:hAnsi="Garamond" w:cs="Times New Roman"/>
          <w:sz w:val="24"/>
          <w:szCs w:val="24"/>
        </w:rPr>
        <w:t>akan</w:t>
      </w:r>
      <w:proofErr w:type="gramEnd"/>
      <w:r w:rsidRPr="00DD79E1">
        <w:rPr>
          <w:rFonts w:ascii="Garamond" w:hAnsi="Garamond" w:cs="Times New Roman"/>
          <w:sz w:val="24"/>
          <w:szCs w:val="24"/>
        </w:rPr>
        <w:t xml:space="preserve"> memastikan bahwa perwakafan dijalankan dengan efisien, transparan, dan sesuai dengan tujuan awal perwakafan. Berdasarkan pada problematika perwakafan di Indonesia yang sudah dibahas pada </w:t>
      </w:r>
      <w:proofErr w:type="gramStart"/>
      <w:r w:rsidRPr="00DD79E1">
        <w:rPr>
          <w:rFonts w:ascii="Garamond" w:hAnsi="Garamond" w:cs="Times New Roman"/>
          <w:sz w:val="24"/>
          <w:szCs w:val="24"/>
        </w:rPr>
        <w:t>bab</w:t>
      </w:r>
      <w:proofErr w:type="gramEnd"/>
      <w:r w:rsidRPr="00DD79E1">
        <w:rPr>
          <w:rFonts w:ascii="Garamond" w:hAnsi="Garamond" w:cs="Times New Roman"/>
          <w:sz w:val="24"/>
          <w:szCs w:val="24"/>
        </w:rPr>
        <w:t xml:space="preserve"> sebelumnya, maka pada bab ini akan membahas strategi membangun tata kelola perwakafan modern di Indonesia yang kuat dan berkelanjutan.</w:t>
      </w:r>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Salah satu langkah awal dalam membangun tata kelola perwakafan yang baik dan modern adalah memastikan bahwa perwakafan diatur oleh hukum dan regulasi yang jelas.</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Pemerintah perlu mengeluarkan undang-undang atau peraturan yang mengatur perwakafan, termasuk prosedur pendirian, pengelolaan, dan pengawasan perwakafan.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Penguatan hukum wakaf di Indonesia adalah suatu upaya untuk melindungi, mengembangkan, dan memfasilitasi wakaf sebagai instrumen sosial, ekonomi, dan keagamaan yang penting dalam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Wakaf adalah praktik memberikan harta atau aset kepada tujuan amal atau keagamaan dalam Islam.</w:t>
      </w:r>
      <w:proofErr w:type="gramEnd"/>
      <w:r w:rsidRPr="00DD79E1">
        <w:rPr>
          <w:rFonts w:ascii="Garamond" w:hAnsi="Garamond" w:cs="Times New Roman"/>
          <w:sz w:val="24"/>
          <w:szCs w:val="24"/>
        </w:rPr>
        <w:t xml:space="preserve"> </w:t>
      </w:r>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Upaya penguatan hukum wakaf di Indonesia dilakukan dengan melakukan revisi atau pembaruan hukum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Selama ini, di Indonesia hukum wakaf diatur oleh Undang-Undang Nomor 41 Tahun 2004 tentang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Undang-undang ini memberikan landasan hukum yang kuat untuk pengaturan wakaf dan upaya perlindungan aset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Namun, sejumlah pasal sudah kurang relevan sehingga perlu dilakukan pembaruan agar lebih modern.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Selain undang-undang, terdapat peraturan-peraturan pelaksanaan yang mendukung pelaksanaan wakaf, seperti peraturan terkait pengelolaan dan pemanfaatan aset wakaf.</w:t>
      </w:r>
      <w:proofErr w:type="gramEnd"/>
    </w:p>
    <w:p w:rsidR="00D81A50" w:rsidRPr="00DD79E1" w:rsidRDefault="00316CEF" w:rsidP="00D81A50">
      <w:pPr>
        <w:spacing w:after="0" w:line="240" w:lineRule="auto"/>
        <w:ind w:firstLine="709"/>
        <w:jc w:val="both"/>
        <w:rPr>
          <w:rFonts w:ascii="Garamond" w:hAnsi="Garamond" w:cs="Times New Roman"/>
          <w:sz w:val="24"/>
          <w:szCs w:val="24"/>
        </w:rPr>
      </w:pPr>
      <w:r w:rsidRPr="00DD79E1">
        <w:rPr>
          <w:rFonts w:ascii="Garamond" w:hAnsi="Garamond" w:cs="Times New Roman"/>
          <w:sz w:val="24"/>
          <w:szCs w:val="24"/>
        </w:rPr>
        <w:t xml:space="preserve">Penguatan regulasi ini perlu dilakukan dengan </w:t>
      </w:r>
      <w:proofErr w:type="gramStart"/>
      <w:r w:rsidRPr="00DD79E1">
        <w:rPr>
          <w:rFonts w:ascii="Garamond" w:hAnsi="Garamond" w:cs="Times New Roman"/>
          <w:sz w:val="24"/>
          <w:szCs w:val="24"/>
        </w:rPr>
        <w:t>cara</w:t>
      </w:r>
      <w:proofErr w:type="gramEnd"/>
      <w:r w:rsidRPr="00DD79E1">
        <w:rPr>
          <w:rFonts w:ascii="Garamond" w:hAnsi="Garamond" w:cs="Times New Roman"/>
          <w:sz w:val="24"/>
          <w:szCs w:val="24"/>
        </w:rPr>
        <w:t xml:space="preserve"> mengkaji kembali undang-undang yang ada terkait dengan wakaf, pengembangan aset wakaf dan hal-hal lain yang berhubungan dengan hal tersebut. </w:t>
      </w:r>
      <w:proofErr w:type="gramStart"/>
      <w:r w:rsidRPr="00DD79E1">
        <w:rPr>
          <w:rFonts w:ascii="Garamond" w:hAnsi="Garamond" w:cs="Times New Roman"/>
          <w:sz w:val="24"/>
          <w:szCs w:val="24"/>
        </w:rPr>
        <w:t>Perlu juga adanya sebuah kerjasama dari pihak-pihak seperti BWI atau Kementrian Agama dan lembagalembaga wakaf yang ada.</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Penguatan regulasi yang dimaksud menjadi langkah awal dalam perbaikan kebijakan-kebijakan yang terkait dengan wakaf </w:t>
      </w:r>
      <w:r w:rsidRPr="00DD79E1">
        <w:rPr>
          <w:rFonts w:ascii="Garamond" w:hAnsi="Garamond" w:cs="Times New Roman"/>
          <w:sz w:val="24"/>
          <w:szCs w:val="24"/>
        </w:rPr>
        <w:lastRenderedPageBreak/>
        <w:t>sehingga kedepanya hal-hal yang berhubungan dengan wakaf dapat dilaksanakan dengan baik.</w:t>
      </w:r>
      <w:proofErr w:type="gramEnd"/>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 xml:space="preserve">Pembaruan hukum wakaf juga harus memuat tentang </w:t>
      </w:r>
      <w:r w:rsidRPr="00DD79E1">
        <w:rPr>
          <w:rFonts w:ascii="Garamond" w:hAnsi="Garamond" w:cs="Times New Roman"/>
          <w:iCs/>
          <w:sz w:val="24"/>
          <w:szCs w:val="24"/>
        </w:rPr>
        <w:t>p</w:t>
      </w:r>
      <w:r w:rsidRPr="00DD79E1">
        <w:rPr>
          <w:rFonts w:ascii="Garamond" w:hAnsi="Garamond" w:cs="Times New Roman"/>
          <w:sz w:val="24"/>
          <w:szCs w:val="24"/>
        </w:rPr>
        <w:t>enguatan Kelembagaan Nazir.</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Dalam prakteknya wakaf dalam kehidupan masyarakat belum sepenuhnya berjalan tertib dan efisien sehingga dalam berbagai kasus aset benda wakaf tidak terpelihara sebagaimana mestinya.</w:t>
      </w:r>
      <w:proofErr w:type="gramEnd"/>
      <w:r w:rsidRPr="00DD79E1">
        <w:rPr>
          <w:rFonts w:ascii="Garamond" w:hAnsi="Garamond" w:cs="Times New Roman"/>
          <w:sz w:val="24"/>
          <w:szCs w:val="24"/>
        </w:rPr>
        <w:t xml:space="preserve"> Banyaknya permasalahan wakaf yang muncul sebagai mana pada </w:t>
      </w:r>
      <w:proofErr w:type="gramStart"/>
      <w:r w:rsidRPr="00DD79E1">
        <w:rPr>
          <w:rFonts w:ascii="Garamond" w:hAnsi="Garamond" w:cs="Times New Roman"/>
          <w:sz w:val="24"/>
          <w:szCs w:val="24"/>
        </w:rPr>
        <w:t>bab</w:t>
      </w:r>
      <w:proofErr w:type="gramEnd"/>
      <w:r w:rsidRPr="00DD79E1">
        <w:rPr>
          <w:rFonts w:ascii="Garamond" w:hAnsi="Garamond" w:cs="Times New Roman"/>
          <w:sz w:val="24"/>
          <w:szCs w:val="24"/>
        </w:rPr>
        <w:t xml:space="preserve"> sebelumnya salah satunya dikarenakan adanya ketidak mampuan atau kelalaian Nazhir dalam mengelola dan mengembangkan aset benda wakaf.</w:t>
      </w:r>
      <w:r w:rsidRPr="00DD79E1">
        <w:rPr>
          <w:rStyle w:val="FootnoteReference"/>
          <w:rFonts w:ascii="Garamond" w:hAnsi="Garamond" w:cs="Times New Roman"/>
          <w:sz w:val="24"/>
          <w:szCs w:val="24"/>
        </w:rPr>
        <w:footnoteReference w:id="44"/>
      </w:r>
      <w:r w:rsidRPr="00DD79E1">
        <w:rPr>
          <w:rFonts w:ascii="Garamond" w:hAnsi="Garamond" w:cs="Times New Roman"/>
          <w:sz w:val="24"/>
          <w:szCs w:val="24"/>
        </w:rPr>
        <w:t xml:space="preserve"> </w:t>
      </w:r>
      <w:proofErr w:type="gramStart"/>
      <w:r w:rsidRPr="00DD79E1">
        <w:rPr>
          <w:rFonts w:ascii="Garamond" w:hAnsi="Garamond" w:cs="Times New Roman"/>
          <w:sz w:val="24"/>
          <w:szCs w:val="24"/>
        </w:rPr>
        <w:t>Dalam situasi dimana belum dibentuk badan wakaf yang independen, dikhawatirkan pengelolaan wakaf tersebut tidak berjalan secara optimal.</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Karena pembinaan dan pengawasan terhadap kinerja nadzir tidak ada yang memperhatikan.</w:t>
      </w:r>
      <w:proofErr w:type="gramEnd"/>
      <w:r w:rsidRPr="00DD79E1">
        <w:rPr>
          <w:rStyle w:val="FootnoteReference"/>
          <w:rFonts w:ascii="Garamond" w:hAnsi="Garamond" w:cs="Times New Roman"/>
          <w:sz w:val="24"/>
          <w:szCs w:val="24"/>
        </w:rPr>
        <w:footnoteReference w:id="45"/>
      </w:r>
      <w:r w:rsidRPr="00DD79E1">
        <w:rPr>
          <w:rFonts w:ascii="Garamond" w:hAnsi="Garamond" w:cs="Times New Roman"/>
          <w:sz w:val="24"/>
          <w:szCs w:val="24"/>
        </w:rPr>
        <w:t xml:space="preserve"> </w:t>
      </w:r>
      <w:proofErr w:type="gramStart"/>
      <w:r w:rsidRPr="00DD79E1">
        <w:rPr>
          <w:rFonts w:ascii="Garamond" w:hAnsi="Garamond" w:cs="Times New Roman"/>
          <w:sz w:val="24"/>
          <w:szCs w:val="24"/>
        </w:rPr>
        <w:t>Sedangkan ditangan nadzir titik keberhasilan dan kegagalan dari pengelolaan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Walaupun wakaf di Indonesia sudah dilaksanakan sejak awal masuknya Islam di Indonesia, tetapi dalam implementasinya saat ini masih secaratradisional serta diikuti oleh adat yang masih berlaku.</w:t>
      </w:r>
      <w:proofErr w:type="gramEnd"/>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Wakaf berbasis produktif lebih menekankan untuk sifat pemanfaatan secara ekonomis yang merupkan bagian dari wujud pemberdayaan aset wakaf yang bermanfaat dan memiliki nilai ekonomis secara mudaratnya</w:t>
      </w:r>
      <w:r w:rsidRPr="00DD79E1">
        <w:rPr>
          <w:rStyle w:val="FootnoteReference"/>
          <w:rFonts w:ascii="Garamond" w:hAnsi="Garamond" w:cs="Times New Roman"/>
          <w:sz w:val="24"/>
          <w:szCs w:val="24"/>
        </w:rPr>
        <w:footnoteReference w:id="46"/>
      </w:r>
      <w:r w:rsidRPr="00DD79E1">
        <w:rPr>
          <w:rFonts w:ascii="Garamond" w:hAnsi="Garamond" w:cs="Times New Roman"/>
          <w:sz w:val="24"/>
          <w:szCs w:val="24"/>
        </w:rPr>
        <w:t>, konsep wakaf produktif mewajibkan untuk menciptakan suatu pengolaan yang bisa mempertajam manfaat dari aset benda wakaf dan memberikan efek secara berkelanjutan.</w:t>
      </w:r>
      <w:proofErr w:type="gramEnd"/>
      <w:r w:rsidRPr="00DD79E1">
        <w:rPr>
          <w:rStyle w:val="FootnoteReference"/>
          <w:rFonts w:ascii="Garamond" w:hAnsi="Garamond" w:cs="Times New Roman"/>
          <w:sz w:val="24"/>
          <w:szCs w:val="24"/>
        </w:rPr>
        <w:footnoteReference w:id="47"/>
      </w:r>
      <w:r w:rsidRPr="00DD79E1">
        <w:rPr>
          <w:rFonts w:ascii="Garamond" w:hAnsi="Garamond" w:cs="Times New Roman"/>
          <w:sz w:val="24"/>
          <w:szCs w:val="24"/>
        </w:rPr>
        <w:t xml:space="preserve"> </w:t>
      </w:r>
      <w:proofErr w:type="gramStart"/>
      <w:r w:rsidRPr="00DD79E1">
        <w:rPr>
          <w:rFonts w:ascii="Garamond" w:hAnsi="Garamond" w:cs="Times New Roman"/>
          <w:sz w:val="24"/>
          <w:szCs w:val="24"/>
        </w:rPr>
        <w:t>Menurut Qahf menyatakan bahwa wakaf berbasis produktif ini adalah berupa aset wakaf yang menggunakan kegiatan-kegiatan produksi misalnya kegiatan industri, perdagangan, jasa atau usaha pertanian.</w:t>
      </w:r>
      <w:proofErr w:type="gramEnd"/>
      <w:r w:rsidRPr="00DD79E1">
        <w:rPr>
          <w:rStyle w:val="FootnoteReference"/>
          <w:rFonts w:ascii="Garamond" w:hAnsi="Garamond" w:cs="Times New Roman"/>
          <w:sz w:val="24"/>
          <w:szCs w:val="24"/>
        </w:rPr>
        <w:footnoteReference w:id="48"/>
      </w:r>
      <w:r w:rsidRPr="00DD79E1">
        <w:rPr>
          <w:rFonts w:ascii="Garamond" w:hAnsi="Garamond" w:cs="Times New Roman"/>
          <w:sz w:val="24"/>
          <w:szCs w:val="24"/>
        </w:rPr>
        <w:t xml:space="preserve"> Surplus wakaf produktif ini </w:t>
      </w:r>
      <w:proofErr w:type="gramStart"/>
      <w:r w:rsidRPr="00DD79E1">
        <w:rPr>
          <w:rFonts w:ascii="Garamond" w:hAnsi="Garamond" w:cs="Times New Roman"/>
          <w:sz w:val="24"/>
          <w:szCs w:val="24"/>
        </w:rPr>
        <w:t>akan</w:t>
      </w:r>
      <w:proofErr w:type="gramEnd"/>
      <w:r w:rsidRPr="00DD79E1">
        <w:rPr>
          <w:rFonts w:ascii="Garamond" w:hAnsi="Garamond" w:cs="Times New Roman"/>
          <w:sz w:val="24"/>
          <w:szCs w:val="24"/>
        </w:rPr>
        <w:t xml:space="preserve"> menjadi suatu sumber dana abadi bagi pembiayaan kebutuhan ummat, misalnya untuk pembiayaan pelayanan kesehatan atau pendidikan yang berkualitass. </w:t>
      </w:r>
      <w:proofErr w:type="gramStart"/>
      <w:r w:rsidRPr="00DD79E1">
        <w:rPr>
          <w:rFonts w:ascii="Garamond" w:hAnsi="Garamond" w:cs="Times New Roman"/>
          <w:sz w:val="24"/>
          <w:szCs w:val="24"/>
        </w:rPr>
        <w:t>Wakaf produktif ini merupakan suatu skema pengelolaan donasi wakaf dari umat, dimana dengan memproduktifkan donasi-donasinya, sehingga mampu menghasilkan surplus yang bersifat kelanjutan.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Donasi wakaf ini bisa berbentuk benda bergerak, misalnya uang atau logam mulia, ataupun benda tidak bergerak, contohnya bangunan atau tanah.</w:t>
      </w:r>
      <w:proofErr w:type="gramEnd"/>
      <w:r w:rsidRPr="00DD79E1">
        <w:rPr>
          <w:rFonts w:ascii="Garamond" w:hAnsi="Garamond" w:cs="Times New Roman"/>
          <w:sz w:val="24"/>
          <w:szCs w:val="24"/>
        </w:rPr>
        <w:t xml:space="preserve"> </w:t>
      </w:r>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 xml:space="preserve">Pemberdayaan asset benda wakaf sudah melewati berbagai perubahan-perubahan yang cukup signifikan mulai waktu ke waktu, pengertian terhadap wakaf berbasis produktif ini semakin komprehensif dan berkembang yang berfungsi untuk pengembangan ekonomi, dengan tujuan bagi kepentingan umat </w:t>
      </w:r>
      <w:r w:rsidRPr="00DD79E1">
        <w:rPr>
          <w:rFonts w:ascii="Garamond" w:hAnsi="Garamond" w:cs="Times New Roman"/>
          <w:sz w:val="24"/>
          <w:szCs w:val="24"/>
        </w:rPr>
        <w:lastRenderedPageBreak/>
        <w:t>atau sosial masyarakat.</w:t>
      </w:r>
      <w:proofErr w:type="gramEnd"/>
      <w:r w:rsidRPr="00DD79E1">
        <w:rPr>
          <w:rFonts w:ascii="Garamond" w:hAnsi="Garamond" w:cs="Times New Roman"/>
          <w:sz w:val="24"/>
          <w:szCs w:val="24"/>
        </w:rPr>
        <w:t xml:space="preserve"> Maka dari itu, umat </w:t>
      </w:r>
      <w:proofErr w:type="gramStart"/>
      <w:r w:rsidRPr="00DD79E1">
        <w:rPr>
          <w:rFonts w:ascii="Garamond" w:hAnsi="Garamond" w:cs="Times New Roman"/>
          <w:sz w:val="24"/>
          <w:szCs w:val="24"/>
        </w:rPr>
        <w:t>muslim</w:t>
      </w:r>
      <w:proofErr w:type="gramEnd"/>
      <w:r w:rsidRPr="00DD79E1">
        <w:rPr>
          <w:rFonts w:ascii="Garamond" w:hAnsi="Garamond" w:cs="Times New Roman"/>
          <w:sz w:val="24"/>
          <w:szCs w:val="24"/>
        </w:rPr>
        <w:t xml:space="preserve"> sudah mendapatkan bentuk ekonomi terbaru yang muncul dari perwakafan, dimana dengan cara mendirikan lembaga dan yayasan perkembangan ekonomi yang diorientasikan u</w:t>
      </w:r>
      <w:r w:rsidR="00D81A50" w:rsidRPr="00DD79E1">
        <w:rPr>
          <w:rFonts w:ascii="Garamond" w:hAnsi="Garamond" w:cs="Times New Roman"/>
          <w:sz w:val="24"/>
          <w:szCs w:val="24"/>
        </w:rPr>
        <w:t xml:space="preserve">ntuk pelayanan umat masyarakat. </w:t>
      </w:r>
      <w:proofErr w:type="gramStart"/>
      <w:r w:rsidRPr="00DD79E1">
        <w:rPr>
          <w:rFonts w:ascii="Garamond" w:hAnsi="Garamond" w:cs="Times New Roman"/>
          <w:sz w:val="24"/>
          <w:szCs w:val="24"/>
        </w:rPr>
        <w:t>Hal ini menunjukan bahwa sangatlah penting pemberdayan aset benda wakaf berbasis produktif dengan tujuan meningkatkan ekonomi umat.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Dalam mewujudkan wakaf berbasis produktif ini keberadaan nazir sangatlah penting.</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Secara pemahaman Fiqih, Nazir merupakan salah satu pihak yang mengurus pemanfataan aset benda wakaf, baik untuk menjaga manfaatnya atapun penggunaan secara materi bendanya, dan syarat-syarat yang telah disepakati dengan wakif wajib ditunaikan oleh Nazir.</w:t>
      </w:r>
      <w:proofErr w:type="gramEnd"/>
      <w:r w:rsidRPr="00DD79E1">
        <w:rPr>
          <w:rFonts w:ascii="Garamond" w:hAnsi="Garamond" w:cs="Times New Roman"/>
          <w:sz w:val="24"/>
          <w:szCs w:val="24"/>
        </w:rPr>
        <w:t xml:space="preserve"> </w:t>
      </w:r>
    </w:p>
    <w:p w:rsidR="00D81A50"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Berdasarkan pendapat para ulama Kuwai dalam mausu’ahnya menyebutkan bahwa Nazir menurut istilah para Fuqaha merupakan pihak yang diberikan kewenangan untuk mengurus aset benda wakaf milik wakif tersebut serta melakukan penjagaan terhadap materi bendanya serta melakukan penjagaan terhadap nilai-nilai manfaatnya, sekaligus syarat dari wakif yang harus ditunaikan.</w:t>
      </w:r>
      <w:proofErr w:type="gramEnd"/>
      <w:r w:rsidRPr="00DD79E1">
        <w:rPr>
          <w:rFonts w:ascii="Garamond" w:hAnsi="Garamond" w:cs="Times New Roman"/>
          <w:sz w:val="24"/>
          <w:szCs w:val="24"/>
        </w:rPr>
        <w:t xml:space="preserve"> Berdasarkan pendapat ahli Hukum Islam yaitu DR. Wahbah Az-Zuhaili di dalam kitabnya al-Fiqh al-Islamiy </w:t>
      </w:r>
      <w:proofErr w:type="gramStart"/>
      <w:r w:rsidRPr="00DD79E1">
        <w:rPr>
          <w:rFonts w:ascii="Garamond" w:hAnsi="Garamond" w:cs="Times New Roman"/>
          <w:sz w:val="24"/>
          <w:szCs w:val="24"/>
        </w:rPr>
        <w:t>wa</w:t>
      </w:r>
      <w:proofErr w:type="gramEnd"/>
      <w:r w:rsidRPr="00DD79E1">
        <w:rPr>
          <w:rFonts w:ascii="Garamond" w:hAnsi="Garamond" w:cs="Times New Roman"/>
          <w:sz w:val="24"/>
          <w:szCs w:val="24"/>
        </w:rPr>
        <w:t xml:space="preserve"> adillatuhu menjelaskan secara umum tugas wewenang Nazir yaitu mengelola pokok benda wakaf dan menjaganya sesuai amanah yang diberikan oleh wakif. </w:t>
      </w:r>
    </w:p>
    <w:p w:rsidR="00D81A50" w:rsidRPr="00DD79E1" w:rsidRDefault="00316CEF" w:rsidP="00D81A50">
      <w:pPr>
        <w:spacing w:after="0" w:line="240" w:lineRule="auto"/>
        <w:ind w:firstLine="709"/>
        <w:jc w:val="both"/>
        <w:rPr>
          <w:rFonts w:ascii="Garamond" w:hAnsi="Garamond" w:cs="Times New Roman"/>
          <w:sz w:val="24"/>
          <w:szCs w:val="24"/>
        </w:rPr>
      </w:pPr>
      <w:r w:rsidRPr="00DD79E1">
        <w:rPr>
          <w:rFonts w:ascii="Garamond" w:hAnsi="Garamond" w:cs="Times New Roman"/>
          <w:sz w:val="24"/>
          <w:szCs w:val="24"/>
        </w:rPr>
        <w:t xml:space="preserve">Pengelolaan ini terdiri dari pengembangannya serta mendapatkan hasilnya, baik dengan </w:t>
      </w:r>
      <w:proofErr w:type="gramStart"/>
      <w:r w:rsidRPr="00DD79E1">
        <w:rPr>
          <w:rFonts w:ascii="Garamond" w:hAnsi="Garamond" w:cs="Times New Roman"/>
          <w:sz w:val="24"/>
          <w:szCs w:val="24"/>
        </w:rPr>
        <w:t>cara</w:t>
      </w:r>
      <w:proofErr w:type="gramEnd"/>
      <w:r w:rsidRPr="00DD79E1">
        <w:rPr>
          <w:rFonts w:ascii="Garamond" w:hAnsi="Garamond" w:cs="Times New Roman"/>
          <w:sz w:val="24"/>
          <w:szCs w:val="24"/>
        </w:rPr>
        <w:t xml:space="preserve"> menanami tanah wakaf atau menyewakannya atau sampai membelanya apabila terjadinya sengketa, lalu Nazir memberikan hasil dari pengelolaan asset benda wakaf kepada para pihak yang mempunyai hak untuk menerima manfaatnya.</w:t>
      </w:r>
      <w:r w:rsidRPr="00DD79E1">
        <w:rPr>
          <w:rStyle w:val="FootnoteReference"/>
          <w:rFonts w:ascii="Garamond" w:hAnsi="Garamond" w:cs="Times New Roman"/>
          <w:sz w:val="24"/>
          <w:szCs w:val="24"/>
        </w:rPr>
        <w:footnoteReference w:id="49"/>
      </w:r>
      <w:r w:rsidRPr="00DD79E1">
        <w:rPr>
          <w:rFonts w:ascii="Garamond" w:hAnsi="Garamond" w:cs="Times New Roman"/>
          <w:sz w:val="24"/>
          <w:szCs w:val="24"/>
        </w:rPr>
        <w:t xml:space="preserve"> </w:t>
      </w:r>
      <w:proofErr w:type="gramStart"/>
      <w:r w:rsidRPr="00DD79E1">
        <w:rPr>
          <w:rFonts w:ascii="Garamond" w:hAnsi="Garamond" w:cs="Times New Roman"/>
          <w:sz w:val="24"/>
          <w:szCs w:val="24"/>
        </w:rPr>
        <w:t>Kualitas dari pihak-pihak yang diberikan kewenangan dan kepercayaan oleh wakif untuk mengelola wakaf secara produktif ini menjadi sebuah hal utama yang menjadi perhatian seorang nazir dalam mengelola aset benda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Nazir wakaf memiliki kewenangan untuk melaksanakan semua bentuk perbuatan yang saling berhubungan dengan tetap mempehatikan persyaratan-persyaratan yang telah ditetapkan oleh pihak wakif dan aturan dari nazir sendiri yang berlaku.</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Untuk mencapai konsep pemberdayaan dimana salah satu peran dari Badan Wakaf Indonesia menjadi sebuah langkah utama dalam memperdayakan fungsi dari nazir itu sendiri dengan berbagai bentuk seperti bantuan modular, pelatihan, ataupun pemagangan.</w:t>
      </w:r>
      <w:proofErr w:type="gramEnd"/>
    </w:p>
    <w:p w:rsidR="00316CEF" w:rsidRPr="00DD79E1" w:rsidRDefault="00316CEF" w:rsidP="00D81A50">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BWI merupakan suatu lembaga yang independen dengan tujuan dibentuk BWI ini untuk engembangkan serta memajukan Wakaf di Indonesia.</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Lembaga wakaf ini diharapkan memiliki tujuan untuk memanfaatkan fungsi wakaf agar terwujudnya manfaat ekonomis serta potensi dari benda wakaf untuk kepentingan-kepentingan ibadah serta memajukan kesejahteraan umum.</w:t>
      </w:r>
      <w:proofErr w:type="gramEnd"/>
      <w:r w:rsidRPr="00DD79E1">
        <w:rPr>
          <w:rFonts w:ascii="Garamond" w:hAnsi="Garamond" w:cs="Times New Roman"/>
          <w:sz w:val="24"/>
          <w:szCs w:val="24"/>
        </w:rPr>
        <w:t xml:space="preserve"> Berikut adalah upaya-upaya strategis yang dapat dilaksanakan </w:t>
      </w:r>
      <w:r w:rsidR="00DF30AE" w:rsidRPr="00DD79E1">
        <w:rPr>
          <w:rFonts w:ascii="Garamond" w:hAnsi="Garamond" w:cs="Times New Roman"/>
          <w:sz w:val="24"/>
          <w:szCs w:val="24"/>
        </w:rPr>
        <w:t>dalam rangka mewujudkan nazhir profesional yang bisa mengembangkan harta wakaf</w:t>
      </w:r>
      <w:r w:rsidRPr="00DD79E1">
        <w:rPr>
          <w:rFonts w:ascii="Garamond" w:hAnsi="Garamond" w:cs="Times New Roman"/>
          <w:sz w:val="24"/>
          <w:szCs w:val="24"/>
        </w:rPr>
        <w:t>:</w:t>
      </w:r>
    </w:p>
    <w:p w:rsidR="00316CEF" w:rsidRPr="00DD79E1" w:rsidRDefault="00DF30AE" w:rsidP="00DF30AE">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lastRenderedPageBreak/>
        <w:t xml:space="preserve">Pertama, </w:t>
      </w:r>
      <w:r w:rsidR="00316CEF" w:rsidRPr="00DD79E1">
        <w:rPr>
          <w:rFonts w:ascii="Garamond" w:hAnsi="Garamond" w:cs="Times New Roman"/>
          <w:sz w:val="24"/>
          <w:szCs w:val="24"/>
        </w:rPr>
        <w:t>penguatan lembaga nazir yang memiliki efek kemanfaatan pada aset benda wakaf milik wakif yang dikelola oleh Nazir.</w:t>
      </w:r>
      <w:proofErr w:type="gramEnd"/>
      <w:r w:rsidR="00316CEF" w:rsidRPr="00DD79E1">
        <w:rPr>
          <w:rFonts w:ascii="Garamond" w:hAnsi="Garamond" w:cs="Times New Roman"/>
          <w:sz w:val="24"/>
          <w:szCs w:val="24"/>
        </w:rPr>
        <w:t xml:space="preserve"> Kualitas nazir yang baik </w:t>
      </w:r>
      <w:proofErr w:type="gramStart"/>
      <w:r w:rsidR="00316CEF" w:rsidRPr="00DD79E1">
        <w:rPr>
          <w:rFonts w:ascii="Garamond" w:hAnsi="Garamond" w:cs="Times New Roman"/>
          <w:sz w:val="24"/>
          <w:szCs w:val="24"/>
        </w:rPr>
        <w:t>akan</w:t>
      </w:r>
      <w:proofErr w:type="gramEnd"/>
      <w:r w:rsidR="00316CEF" w:rsidRPr="00DD79E1">
        <w:rPr>
          <w:rFonts w:ascii="Garamond" w:hAnsi="Garamond" w:cs="Times New Roman"/>
          <w:sz w:val="24"/>
          <w:szCs w:val="24"/>
        </w:rPr>
        <w:t xml:space="preserve"> meningkatkan kepercayaan dari pihak wakif serta juga memiliki efek pada raising money pendanaan wakaf.</w:t>
      </w:r>
      <w:r w:rsidR="00316CEF" w:rsidRPr="00DD79E1">
        <w:rPr>
          <w:rStyle w:val="FootnoteReference"/>
          <w:rFonts w:ascii="Garamond" w:hAnsi="Garamond" w:cs="Times New Roman"/>
          <w:sz w:val="24"/>
          <w:szCs w:val="24"/>
        </w:rPr>
        <w:footnoteReference w:id="50"/>
      </w:r>
      <w:r w:rsidRPr="00DD79E1">
        <w:rPr>
          <w:rFonts w:ascii="Garamond" w:hAnsi="Garamond" w:cs="Times New Roman"/>
          <w:sz w:val="24"/>
          <w:szCs w:val="24"/>
        </w:rPr>
        <w:t xml:space="preserve"> </w:t>
      </w:r>
      <w:proofErr w:type="gramStart"/>
      <w:r w:rsidRPr="00DD79E1">
        <w:rPr>
          <w:rFonts w:ascii="Garamond" w:hAnsi="Garamond" w:cs="Times New Roman"/>
          <w:sz w:val="24"/>
          <w:szCs w:val="24"/>
        </w:rPr>
        <w:t>Kedua, m</w:t>
      </w:r>
      <w:r w:rsidR="00316CEF" w:rsidRPr="00DD79E1">
        <w:rPr>
          <w:rFonts w:ascii="Garamond" w:hAnsi="Garamond" w:cs="Times New Roman"/>
          <w:sz w:val="24"/>
          <w:szCs w:val="24"/>
        </w:rPr>
        <w:t>enjadikan nazir sebagai profesi utama bukan menjadikannya hanya sebagai profesi sampingan.</w:t>
      </w:r>
      <w:proofErr w:type="gramEnd"/>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Masalah utama dalam profe</w:t>
      </w:r>
      <w:r w:rsidR="000F2411" w:rsidRPr="00DD79E1">
        <w:rPr>
          <w:rFonts w:ascii="Garamond" w:hAnsi="Garamond" w:cs="Times New Roman"/>
          <w:sz w:val="24"/>
          <w:szCs w:val="24"/>
        </w:rPr>
        <w:t>s</w:t>
      </w:r>
      <w:r w:rsidR="00316CEF" w:rsidRPr="00DD79E1">
        <w:rPr>
          <w:rFonts w:ascii="Garamond" w:hAnsi="Garamond" w:cs="Times New Roman"/>
          <w:sz w:val="24"/>
          <w:szCs w:val="24"/>
        </w:rPr>
        <w:t>i nazir yang masih belum menjadikan pekerjaan utama atapun prioritasi utama, hal ini menjadi salahsatu masalah ut</w:t>
      </w:r>
      <w:r w:rsidR="000F2411" w:rsidRPr="00DD79E1">
        <w:rPr>
          <w:rFonts w:ascii="Garamond" w:hAnsi="Garamond" w:cs="Times New Roman"/>
          <w:sz w:val="24"/>
          <w:szCs w:val="24"/>
        </w:rPr>
        <w:t>a</w:t>
      </w:r>
      <w:r w:rsidR="00316CEF" w:rsidRPr="00DD79E1">
        <w:rPr>
          <w:rFonts w:ascii="Garamond" w:hAnsi="Garamond" w:cs="Times New Roman"/>
          <w:sz w:val="24"/>
          <w:szCs w:val="24"/>
        </w:rPr>
        <w:t>ma yang harus diselesaikan.</w:t>
      </w:r>
      <w:proofErr w:type="gramEnd"/>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Hal-hal yang bisa dilaksanakan untuk menyelesaikan persoalan tersebut yaitu dengan memberikan tunjangan hidup ataupun fasilitas-fasilitas lainnya yang memberikan kesejahteraan bagi nazir ataupun meningkatkan insentif nazir.</w:t>
      </w:r>
      <w:proofErr w:type="gramEnd"/>
    </w:p>
    <w:p w:rsidR="00316CEF" w:rsidRPr="00DD79E1" w:rsidRDefault="00DF30AE" w:rsidP="00DF30AE">
      <w:pPr>
        <w:spacing w:after="0" w:line="240" w:lineRule="auto"/>
        <w:ind w:firstLine="709"/>
        <w:jc w:val="both"/>
        <w:rPr>
          <w:rFonts w:ascii="Garamond" w:hAnsi="Garamond" w:cs="Times New Roman"/>
          <w:sz w:val="24"/>
          <w:szCs w:val="24"/>
        </w:rPr>
      </w:pPr>
      <w:proofErr w:type="gramStart"/>
      <w:r w:rsidRPr="00DD79E1">
        <w:rPr>
          <w:rFonts w:ascii="Garamond" w:hAnsi="Garamond" w:cs="Times New Roman"/>
          <w:sz w:val="24"/>
          <w:szCs w:val="24"/>
        </w:rPr>
        <w:t>Ketiga, m</w:t>
      </w:r>
      <w:r w:rsidR="00316CEF" w:rsidRPr="00DD79E1">
        <w:rPr>
          <w:rFonts w:ascii="Garamond" w:hAnsi="Garamond" w:cs="Times New Roman"/>
          <w:sz w:val="24"/>
          <w:szCs w:val="24"/>
        </w:rPr>
        <w:t>embentuk pendidikan nazir yang bersifat formal, kasual ataupun non formal.</w:t>
      </w:r>
      <w:proofErr w:type="gramEnd"/>
      <w:r w:rsidR="00316CEF" w:rsidRPr="00DD79E1">
        <w:rPr>
          <w:rFonts w:ascii="Garamond" w:hAnsi="Garamond" w:cs="Times New Roman"/>
          <w:sz w:val="24"/>
          <w:szCs w:val="24"/>
        </w:rPr>
        <w:t xml:space="preserve"> </w:t>
      </w:r>
      <w:proofErr w:type="gramStart"/>
      <w:r w:rsidR="00316CEF" w:rsidRPr="00DD79E1">
        <w:rPr>
          <w:rFonts w:ascii="Garamond" w:hAnsi="Garamond" w:cs="Times New Roman"/>
          <w:sz w:val="24"/>
          <w:szCs w:val="24"/>
        </w:rPr>
        <w:t>Hal ini sebagai upaya untuk meningkatkan literasi atau pelatihan ataupun wadah pembinaan guna peningkatan ability para nazir.</w:t>
      </w:r>
      <w:proofErr w:type="gramEnd"/>
      <w:r w:rsidR="00316CEF" w:rsidRPr="00DD79E1">
        <w:rPr>
          <w:rFonts w:ascii="Garamond" w:hAnsi="Garamond" w:cs="Times New Roman"/>
          <w:sz w:val="24"/>
          <w:szCs w:val="24"/>
        </w:rPr>
        <w:t xml:space="preserve"> Para nazir ini nantinya </w:t>
      </w:r>
      <w:proofErr w:type="gramStart"/>
      <w:r w:rsidR="00316CEF" w:rsidRPr="00DD79E1">
        <w:rPr>
          <w:rFonts w:ascii="Garamond" w:hAnsi="Garamond" w:cs="Times New Roman"/>
          <w:sz w:val="24"/>
          <w:szCs w:val="24"/>
        </w:rPr>
        <w:t>akan</w:t>
      </w:r>
      <w:proofErr w:type="gramEnd"/>
      <w:r w:rsidR="00316CEF" w:rsidRPr="00DD79E1">
        <w:rPr>
          <w:rFonts w:ascii="Garamond" w:hAnsi="Garamond" w:cs="Times New Roman"/>
          <w:sz w:val="24"/>
          <w:szCs w:val="24"/>
        </w:rPr>
        <w:t xml:space="preserve"> mendapatkan sertifikasi sebagai bukti atas pencapaian yang diperoleh sehingga outpunya adalah menjadi nazir cakap dan profesional. </w:t>
      </w:r>
      <w:proofErr w:type="gramStart"/>
      <w:r w:rsidR="00316CEF" w:rsidRPr="00DD79E1">
        <w:rPr>
          <w:rFonts w:ascii="Garamond" w:hAnsi="Garamond" w:cs="Times New Roman"/>
          <w:sz w:val="24"/>
          <w:szCs w:val="24"/>
        </w:rPr>
        <w:t>Sekolah-sekolah nazir ini nantinya dibentuk atas hubungan baik dari lembaga-lembaga yang terkait seperti BWI, Kementrian Agama atau lembaga wakaf lainnya.</w:t>
      </w:r>
      <w:proofErr w:type="gramEnd"/>
      <w:r w:rsidR="00316CEF" w:rsidRPr="00DD79E1">
        <w:rPr>
          <w:rFonts w:ascii="Garamond" w:hAnsi="Garamond" w:cs="Times New Roman"/>
          <w:sz w:val="24"/>
          <w:szCs w:val="24"/>
        </w:rPr>
        <w:t xml:space="preserve"> </w:t>
      </w:r>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Nazir yang profesional juga berperan besar dalam upaya mengedukasi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Peningkatan edukasi dan literasi yang hubunganya dengan wakaf menjadi salah satu hal yang utama dan harus segera diperbaiki serta dilaksanakan pada semua ini atau lembaga yang terkait dengan wakaf.</w:t>
      </w:r>
      <w:proofErr w:type="gramEnd"/>
      <w:r w:rsidR="00D81A50" w:rsidRPr="00DD79E1">
        <w:rPr>
          <w:rFonts w:ascii="Garamond" w:hAnsi="Garamond" w:cs="Times New Roman"/>
          <w:sz w:val="24"/>
          <w:szCs w:val="24"/>
        </w:rPr>
        <w:t xml:space="preserve"> </w:t>
      </w:r>
      <w:proofErr w:type="gramStart"/>
      <w:r w:rsidRPr="00DD79E1">
        <w:rPr>
          <w:rFonts w:ascii="Garamond" w:hAnsi="Garamond" w:cs="Times New Roman"/>
          <w:iCs/>
          <w:sz w:val="24"/>
          <w:szCs w:val="24"/>
        </w:rPr>
        <w:t xml:space="preserve">Pembaruan hukum wakaf juga meliputi tentang </w:t>
      </w:r>
      <w:r w:rsidRPr="00DD79E1">
        <w:rPr>
          <w:rFonts w:ascii="Garamond" w:hAnsi="Garamond" w:cs="Times New Roman"/>
          <w:sz w:val="24"/>
          <w:szCs w:val="24"/>
        </w:rPr>
        <w:t>transparansi dan akuntabilitas.</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Wakaf merupakan konsep filantropi dalam Islam, di mana seseorang atau lembaga mendedikasikan aset atau kekayaan mereka untuk kepentingan umum.</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Wakaf memiliki potensi besar untuk membantu masyarakat dan memecahkan berbagai masalah sosial, seperti kemiskinan, pendidikan, kesehatan, dan lain-lain.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Namun, untuk memaksimalkan dampak positif wakaf, transparansi adalah kunci.</w:t>
      </w:r>
      <w:proofErr w:type="gramEnd"/>
      <w:r w:rsidRPr="00DD79E1">
        <w:rPr>
          <w:rFonts w:ascii="Garamond" w:hAnsi="Garamond" w:cs="Times New Roman"/>
          <w:sz w:val="24"/>
          <w:szCs w:val="24"/>
        </w:rPr>
        <w:t xml:space="preserve"> Transparansi dalam wakaf mengacu pada kebijakan dan praktik yang melibatkan pembukaan informasi yang jelas dan mudah diakses tentang bagaimana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wakaf dikumpulkan, diinvestasikan, dan digunakan. </w:t>
      </w:r>
      <w:proofErr w:type="gramStart"/>
      <w:r w:rsidRPr="00DD79E1">
        <w:rPr>
          <w:rFonts w:ascii="Garamond" w:hAnsi="Garamond" w:cs="Times New Roman"/>
          <w:sz w:val="24"/>
          <w:szCs w:val="24"/>
        </w:rPr>
        <w:t>Inilah mengapa transparansi dalam wakaf sangat penting.</w:t>
      </w:r>
      <w:proofErr w:type="gramEnd"/>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Transparansi membangun kepercayaan publik terhadap institusi wakaf.</w:t>
      </w:r>
      <w:proofErr w:type="gramEnd"/>
      <w:r w:rsidRPr="00DD79E1">
        <w:rPr>
          <w:rFonts w:ascii="Garamond" w:hAnsi="Garamond" w:cs="Times New Roman"/>
          <w:sz w:val="24"/>
          <w:szCs w:val="24"/>
        </w:rPr>
        <w:t xml:space="preserve"> Ketika donatur dan masyarakat tahu bahwa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wakaf digunakan dengan benar dan efisien, mereka cenderung lebih termotivasi untuk mendukungnya. </w:t>
      </w:r>
      <w:proofErr w:type="gramStart"/>
      <w:r w:rsidRPr="00DD79E1">
        <w:rPr>
          <w:rFonts w:ascii="Garamond" w:hAnsi="Garamond" w:cs="Times New Roman"/>
          <w:sz w:val="24"/>
          <w:szCs w:val="24"/>
        </w:rPr>
        <w:t>Dengan transparansi, institusi wakaf harus lebih akuntabel terhadap pendukung dan penerima manfaat.</w:t>
      </w:r>
      <w:proofErr w:type="gramEnd"/>
      <w:r w:rsidRPr="00DD79E1">
        <w:rPr>
          <w:rFonts w:ascii="Garamond" w:hAnsi="Garamond" w:cs="Times New Roman"/>
          <w:sz w:val="24"/>
          <w:szCs w:val="24"/>
        </w:rPr>
        <w:t xml:space="preserve"> Mereka harus melaporkan secara berkala bagaimana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wakaf digunakan dan hasil yang telah dicapai. Informasi transparan memungkinkan institusi wakaf untuk membuat keputusan yang lebih baik dalam </w:t>
      </w:r>
      <w:r w:rsidRPr="00DD79E1">
        <w:rPr>
          <w:rFonts w:ascii="Garamond" w:hAnsi="Garamond" w:cs="Times New Roman"/>
          <w:sz w:val="24"/>
          <w:szCs w:val="24"/>
        </w:rPr>
        <w:lastRenderedPageBreak/>
        <w:t xml:space="preserve">pengelolaan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Mereka dapat mengevaluasi kinerja investasi mereka dan memastikan bahwa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dialokasikan dengan benar sesuai dengan misi mereka.</w:t>
      </w:r>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Dengan transparansi, institusi wakaf dapat lebih efektif mengukur dampak sosial dari proyek dan program yang mereka jalankan.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Ini memungkinkan mereka untuk meningkatkan program yang berhasil dan mengoreksi yang tidak berhasil.</w:t>
      </w:r>
      <w:proofErr w:type="gramEnd"/>
      <w:r w:rsidRPr="00DD79E1">
        <w:rPr>
          <w:rFonts w:ascii="Garamond" w:hAnsi="Garamond" w:cs="Times New Roman"/>
          <w:sz w:val="24"/>
          <w:szCs w:val="24"/>
        </w:rPr>
        <w:t xml:space="preserve"> Ketika masyarakat tahu bahwa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wakaf digunakan secara transparan dan efisien, mereka cenderung lebih terlibat dan peduli dengan program wakaf. </w:t>
      </w:r>
      <w:proofErr w:type="gramStart"/>
      <w:r w:rsidRPr="00DD79E1">
        <w:rPr>
          <w:rFonts w:ascii="Garamond" w:hAnsi="Garamond" w:cs="Times New Roman"/>
          <w:sz w:val="24"/>
          <w:szCs w:val="24"/>
        </w:rPr>
        <w:t>Mereka mungkin juga lebih mungkin untuk mendukung upaya wakaf dengan sumbangan tambahan.</w:t>
      </w:r>
      <w:proofErr w:type="gramEnd"/>
      <w:r w:rsidR="00D81A50" w:rsidRPr="00DD79E1">
        <w:rPr>
          <w:rFonts w:ascii="Garamond" w:hAnsi="Garamond" w:cs="Times New Roman"/>
          <w:sz w:val="24"/>
          <w:szCs w:val="24"/>
        </w:rPr>
        <w:t xml:space="preserve"> </w:t>
      </w:r>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Untuk mencapai tingkat transparansi yang optimal dalam wakaf, institusi wakaf perlu mematuhi praktik terbaik dan standar akuntansi yang relevan.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Mereka juga harus secara teratur memberikan laporan keuangan dan dampak kepada publik.</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Selain itu, teknologi modern, seperti platform daring dan blockchain, dapat digunakan untuk meningkatkan transparansi dan akuntabilitas dalam wakaf.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Dalam konteks wakaf, transparansi adalah fondasi untuk membangun kepercayaan dan menjadikan filantropi Islam lebih kuat dan berdampak.</w:t>
      </w:r>
      <w:proofErr w:type="gramEnd"/>
      <w:r w:rsidRPr="00DD79E1">
        <w:rPr>
          <w:rFonts w:ascii="Garamond" w:hAnsi="Garamond" w:cs="Times New Roman"/>
          <w:sz w:val="24"/>
          <w:szCs w:val="24"/>
        </w:rPr>
        <w:t xml:space="preserve"> </w:t>
      </w:r>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Semakin banyak institusi wakaf yang mengadopsi praktik transparansi yang baik, semakin besar potensi wakaf untuk membantu masyarakat dan memajukan kesejahteraan umum.</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Transparansi dan akuntabilitas merupakan prinsip utama dalam tata kelola perwakafan.</w:t>
      </w:r>
      <w:proofErr w:type="gramEnd"/>
      <w:r w:rsidRPr="00DD79E1">
        <w:rPr>
          <w:rFonts w:ascii="Garamond" w:hAnsi="Garamond" w:cs="Times New Roman"/>
          <w:sz w:val="24"/>
          <w:szCs w:val="24"/>
        </w:rPr>
        <w:t xml:space="preserve"> </w:t>
      </w:r>
      <w:r w:rsidRPr="00DD79E1">
        <w:rPr>
          <w:rFonts w:ascii="Garamond" w:hAnsi="Garamond" w:cs="Times New Roman"/>
          <w:sz w:val="24"/>
          <w:szCs w:val="24"/>
          <w:shd w:val="clear" w:color="auto" w:fill="FFFFFF"/>
        </w:rPr>
        <w:t xml:space="preserve">Transparansi dan akuntabilitas lembaga wakaf yang termasuk dalam </w:t>
      </w:r>
      <w:r w:rsidR="000F2411" w:rsidRPr="00DD79E1">
        <w:rPr>
          <w:rFonts w:ascii="Garamond" w:hAnsi="Garamond" w:cs="Times New Roman"/>
          <w:sz w:val="24"/>
          <w:szCs w:val="24"/>
          <w:shd w:val="clear" w:color="auto" w:fill="FFFFFF"/>
        </w:rPr>
        <w:t xml:space="preserve">good nazhir governance </w:t>
      </w:r>
      <w:r w:rsidRPr="00DD79E1">
        <w:rPr>
          <w:rFonts w:ascii="Garamond" w:hAnsi="Garamond" w:cs="Times New Roman"/>
          <w:sz w:val="24"/>
          <w:szCs w:val="24"/>
          <w:shd w:val="clear" w:color="auto" w:fill="FFFFFF"/>
        </w:rPr>
        <w:t>adalah hal penting dan krusial dalam menjaga trust publik.</w:t>
      </w:r>
      <w:r w:rsidRPr="00DD79E1">
        <w:rPr>
          <w:rStyle w:val="FootnoteReference"/>
          <w:rFonts w:ascii="Garamond" w:hAnsi="Garamond" w:cs="Times New Roman"/>
          <w:sz w:val="24"/>
          <w:szCs w:val="24"/>
        </w:rPr>
        <w:footnoteReference w:id="51"/>
      </w:r>
      <w:r w:rsidR="00D81A50" w:rsidRPr="00DD79E1">
        <w:rPr>
          <w:rFonts w:ascii="Garamond" w:hAnsi="Garamond" w:cs="Times New Roman"/>
          <w:sz w:val="24"/>
          <w:szCs w:val="24"/>
          <w:shd w:val="clear" w:color="auto" w:fill="FFFFFF"/>
        </w:rPr>
        <w:t xml:space="preserve"> </w:t>
      </w:r>
      <w:r w:rsidRPr="00DD79E1">
        <w:rPr>
          <w:rFonts w:ascii="Garamond" w:hAnsi="Garamond" w:cs="Times New Roman"/>
          <w:sz w:val="24"/>
          <w:szCs w:val="24"/>
        </w:rPr>
        <w:t xml:space="preserve">Organisasi perwakafan harus menjalankan praktik-praktik yang mengutamakan transparansi dalam pengelolaan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perwakafan, termasuk penyediaan laporan keuangan yang terperinci kepada publik. </w:t>
      </w:r>
      <w:proofErr w:type="gramStart"/>
      <w:r w:rsidRPr="00DD79E1">
        <w:rPr>
          <w:rFonts w:ascii="Garamond" w:hAnsi="Garamond" w:cs="Times New Roman"/>
          <w:sz w:val="24"/>
          <w:szCs w:val="24"/>
        </w:rPr>
        <w:t>Transparansi merupakan bagian dari pengelolaan aset perwakafan yang rofesional.</w:t>
      </w:r>
      <w:proofErr w:type="gramEnd"/>
      <w:r w:rsidRPr="00DD79E1">
        <w:rPr>
          <w:rFonts w:ascii="Garamond" w:hAnsi="Garamond" w:cs="Times New Roman"/>
          <w:sz w:val="24"/>
          <w:szCs w:val="24"/>
        </w:rPr>
        <w:t xml:space="preserve"> Sebab, hal ini termasuk pengelolaan investasi yang cerdas dan etis untuk memastikan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perwakafan tumbuh dengan baik. </w:t>
      </w:r>
      <w:proofErr w:type="gramStart"/>
      <w:r w:rsidRPr="00DD79E1">
        <w:rPr>
          <w:rFonts w:ascii="Garamond" w:hAnsi="Garamond" w:cs="Times New Roman"/>
          <w:sz w:val="24"/>
          <w:szCs w:val="24"/>
        </w:rPr>
        <w:t>Para pengurus perwakafan juga harus memiliki pengetahuan dan keterampilan yang memadai dalam pengelolaan keuangan dan investasi.</w:t>
      </w:r>
      <w:proofErr w:type="gramEnd"/>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Pembaruan hukum wakaf juga memuat tentang pengawasan dan pelibatan masyarakat.</w:t>
      </w:r>
      <w:proofErr w:type="gramEnd"/>
      <w:r w:rsidRPr="00DD79E1">
        <w:rPr>
          <w:rFonts w:ascii="Garamond" w:hAnsi="Garamond" w:cs="Times New Roman"/>
          <w:sz w:val="24"/>
          <w:szCs w:val="24"/>
        </w:rPr>
        <w:t xml:space="preserve"> Mendirikan lembaga pengawas independen yang memantau kegiatan perwakafan dapat membantu mencegah penyalahgunaan </w:t>
      </w:r>
      <w:proofErr w:type="gramStart"/>
      <w:r w:rsidRPr="00DD79E1">
        <w:rPr>
          <w:rFonts w:ascii="Garamond" w:hAnsi="Garamond" w:cs="Times New Roman"/>
          <w:sz w:val="24"/>
          <w:szCs w:val="24"/>
        </w:rPr>
        <w:t>dana</w:t>
      </w:r>
      <w:proofErr w:type="gramEnd"/>
      <w:r w:rsidRPr="00DD79E1">
        <w:rPr>
          <w:rFonts w:ascii="Garamond" w:hAnsi="Garamond" w:cs="Times New Roman"/>
          <w:sz w:val="24"/>
          <w:szCs w:val="24"/>
        </w:rPr>
        <w:t xml:space="preserve"> dan menjamin bahwa perwakafan beroperasi sesuai dengan peraturan yang berlaku. </w:t>
      </w:r>
      <w:proofErr w:type="gramStart"/>
      <w:r w:rsidRPr="00DD79E1">
        <w:rPr>
          <w:rFonts w:ascii="Garamond" w:hAnsi="Garamond" w:cs="Times New Roman"/>
          <w:sz w:val="24"/>
          <w:szCs w:val="24"/>
        </w:rPr>
        <w:t>Membangun tata kelola perwakafan yang baik juga melibatkan pendidikan dan peningkatan kesadaran publik tentang peran perwakafan dalam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Program pendidikan dan kampanye sosial dapat membantu memotivasi individu dan organisasi untuk mendukung perwakafan.</w:t>
      </w:r>
      <w:proofErr w:type="gramEnd"/>
    </w:p>
    <w:p w:rsidR="00D81A50" w:rsidRPr="00DD79E1" w:rsidRDefault="00316CEF" w:rsidP="00D81A50">
      <w:pPr>
        <w:pStyle w:val="ListParagraph"/>
        <w:spacing w:line="240" w:lineRule="auto"/>
        <w:ind w:left="0" w:firstLine="709"/>
        <w:jc w:val="both"/>
        <w:rPr>
          <w:rFonts w:ascii="Garamond" w:hAnsi="Garamond" w:cs="Times New Roman"/>
          <w:sz w:val="24"/>
          <w:szCs w:val="24"/>
        </w:rPr>
      </w:pPr>
      <w:proofErr w:type="gramStart"/>
      <w:r w:rsidRPr="00DD79E1">
        <w:rPr>
          <w:rFonts w:ascii="Garamond" w:hAnsi="Garamond" w:cs="Times New Roman"/>
          <w:sz w:val="24"/>
          <w:szCs w:val="24"/>
        </w:rPr>
        <w:t>Mengikutsertakan masyarakat dalam pengambilan keputusan terkait perwakafan dapat meningkatkan kepercayaan dan dukungan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Ini </w:t>
      </w:r>
      <w:r w:rsidRPr="00DD79E1">
        <w:rPr>
          <w:rFonts w:ascii="Garamond" w:hAnsi="Garamond" w:cs="Times New Roman"/>
          <w:sz w:val="24"/>
          <w:szCs w:val="24"/>
        </w:rPr>
        <w:lastRenderedPageBreak/>
        <w:t>dapat mencakup konsultasi publik dan partisipasi dalam program-program perwakafan.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Organisasi perwakafan harus mengadakan pelaporan rutin dan mengevaluasi kinerja mereka terhadap tujuan-tujuan perwakafan.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Ini membantu memastikan bahwa perwakafan tetap bergerak menuju tujuan mereka.</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Dalam membangun tata kelola perwakafan Indonesia yang kuat, penting untuk mengutamakan integritas, transparansi, dan tujuan sosial, keagamaan, atau kemanusiaan.</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Dengan mengikuti prinsip-prinsip ini, perwakafan dapat menjadi alat yang efektif untuk mendorong perkembangan sosial dan kemanusiaan di Indonesia.</w:t>
      </w:r>
      <w:proofErr w:type="gramEnd"/>
    </w:p>
    <w:p w:rsidR="00D81A50" w:rsidRPr="00DD79E1" w:rsidRDefault="00316CEF" w:rsidP="00DD79E1">
      <w:pPr>
        <w:pStyle w:val="ListParagraph"/>
        <w:spacing w:after="0" w:line="240" w:lineRule="auto"/>
        <w:ind w:left="0" w:firstLine="709"/>
        <w:jc w:val="both"/>
        <w:rPr>
          <w:rFonts w:ascii="Garamond" w:hAnsi="Garamond" w:cs="Times New Roman"/>
          <w:sz w:val="24"/>
          <w:szCs w:val="24"/>
        </w:rPr>
      </w:pPr>
      <w:proofErr w:type="gramStart"/>
      <w:r w:rsidRPr="00DD79E1">
        <w:rPr>
          <w:rFonts w:ascii="Garamond" w:hAnsi="Garamond" w:cs="Times New Roman"/>
          <w:iCs/>
          <w:sz w:val="24"/>
          <w:szCs w:val="24"/>
        </w:rPr>
        <w:t xml:space="preserve">Dalam pembaruan hukum wakaf juga terkait dengan </w:t>
      </w:r>
      <w:r w:rsidRPr="00DD79E1">
        <w:rPr>
          <w:rFonts w:ascii="Garamond" w:hAnsi="Garamond" w:cs="Times New Roman"/>
          <w:sz w:val="24"/>
          <w:szCs w:val="24"/>
        </w:rPr>
        <w:t>peningkatan wakaf produktif.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Wakaf di Indonesia pada umumnya masih dilakukan secara tradisional, berupa benda-benda konsumtif, bukan barang-barang produktif.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ini</w:t>
      </w:r>
      <w:proofErr w:type="gramEnd"/>
      <w:r w:rsidRPr="00DD79E1">
        <w:rPr>
          <w:rFonts w:ascii="Garamond" w:hAnsi="Garamond" w:cs="Times New Roman"/>
          <w:sz w:val="24"/>
          <w:szCs w:val="24"/>
        </w:rPr>
        <w:t xml:space="preserve"> dapat dilihat pada masjid, makam, sekolah, panti asuhan, dan sebagainya. Ini disebabkan karena beberapa hal, diantaranya adalah tanah yang sempit di daerah-daerah lain, menurut hukum adat dahulu hak milik perorangan atas tanah dibatasi oleh hak masyarakat dan hukum adat, dan karna aset yang di wakafkan itu pada umumnya adalah barang-barang konsumtif maka terjadi masalah pada biaya perawatannya untuk mengatasi kesulitan itu, perlu dicari sumber dana tetap melalui wakaf produktif. Wakaf tidak </w:t>
      </w:r>
      <w:proofErr w:type="gramStart"/>
      <w:r w:rsidRPr="00DD79E1">
        <w:rPr>
          <w:rFonts w:ascii="Garamond" w:hAnsi="Garamond" w:cs="Times New Roman"/>
          <w:sz w:val="24"/>
          <w:szCs w:val="24"/>
        </w:rPr>
        <w:t>akan</w:t>
      </w:r>
      <w:proofErr w:type="gramEnd"/>
      <w:r w:rsidRPr="00DD79E1">
        <w:rPr>
          <w:rFonts w:ascii="Garamond" w:hAnsi="Garamond" w:cs="Times New Roman"/>
          <w:sz w:val="24"/>
          <w:szCs w:val="24"/>
        </w:rPr>
        <w:t xml:space="preserve"> bernilai amal jariyah (amal yang senantiasa mengalir pahala dan manfaatnya) sampai benar benar di daya gunakan secara produktif sehingga berkembang atau bermanfaat tanpa habis resource pokok wakafnya.</w:t>
      </w:r>
      <w:r w:rsidRPr="00DD79E1">
        <w:rPr>
          <w:rStyle w:val="FootnoteReference"/>
          <w:rFonts w:ascii="Garamond" w:hAnsi="Garamond" w:cs="Times New Roman"/>
          <w:sz w:val="24"/>
          <w:szCs w:val="24"/>
        </w:rPr>
        <w:footnoteReference w:id="52"/>
      </w:r>
      <w:r w:rsidR="00593211" w:rsidRPr="00DD79E1">
        <w:rPr>
          <w:rFonts w:ascii="Garamond" w:hAnsi="Garamond" w:cs="Times New Roman"/>
          <w:sz w:val="24"/>
          <w:szCs w:val="24"/>
        </w:rPr>
        <w:t xml:space="preserve"> </w:t>
      </w:r>
      <w:proofErr w:type="gramStart"/>
      <w:r w:rsidRPr="00DD79E1">
        <w:rPr>
          <w:rFonts w:ascii="Garamond" w:hAnsi="Garamond" w:cs="Times New Roman"/>
          <w:sz w:val="24"/>
          <w:szCs w:val="24"/>
        </w:rPr>
        <w:t>Wakaf produktif adalah sebuah skema pengelolaan donasi wakaf dari umat, yaitu dengan memproduktifkan donasi tersebut, hingga mampu menghasilkan kelebihan (surplus) yang berkelanjutan.</w:t>
      </w:r>
      <w:proofErr w:type="gramEnd"/>
    </w:p>
    <w:p w:rsidR="00DD79E1" w:rsidRDefault="00DD79E1" w:rsidP="00DD79E1">
      <w:pPr>
        <w:spacing w:after="0"/>
        <w:ind w:firstLine="284"/>
        <w:jc w:val="both"/>
        <w:rPr>
          <w:rFonts w:ascii="Garamond" w:hAnsi="Garamond" w:cs="Times New Roman"/>
          <w:sz w:val="24"/>
          <w:szCs w:val="24"/>
        </w:rPr>
      </w:pPr>
      <w:proofErr w:type="gramStart"/>
      <w:r w:rsidRPr="00DD79E1">
        <w:rPr>
          <w:rFonts w:ascii="Garamond" w:hAnsi="Garamond" w:cs="Times New Roman"/>
          <w:sz w:val="24"/>
          <w:szCs w:val="24"/>
        </w:rPr>
        <w:t xml:space="preserve">Hukum </w:t>
      </w:r>
      <w:r>
        <w:rPr>
          <w:rFonts w:ascii="Garamond" w:hAnsi="Garamond" w:cs="Times New Roman"/>
          <w:sz w:val="24"/>
          <w:szCs w:val="24"/>
        </w:rPr>
        <w:t xml:space="preserve">wakaf </w:t>
      </w:r>
      <w:r w:rsidRPr="00DD79E1">
        <w:rPr>
          <w:rFonts w:ascii="Garamond" w:hAnsi="Garamond" w:cs="Times New Roman"/>
          <w:sz w:val="24"/>
          <w:szCs w:val="24"/>
        </w:rPr>
        <w:t>perlu dilakukan pembaruan.</w:t>
      </w:r>
      <w:proofErr w:type="gramEnd"/>
      <w:r w:rsidRPr="00DD79E1">
        <w:rPr>
          <w:rStyle w:val="FootnoteReference"/>
          <w:rFonts w:ascii="Garamond" w:hAnsi="Garamond" w:cs="Times New Roman"/>
          <w:sz w:val="24"/>
          <w:szCs w:val="24"/>
        </w:rPr>
        <w:footnoteReference w:id="53"/>
      </w:r>
      <w:r w:rsidRPr="00DD79E1">
        <w:rPr>
          <w:rFonts w:ascii="Garamond" w:hAnsi="Garamond" w:cs="Times New Roman"/>
          <w:sz w:val="24"/>
          <w:szCs w:val="24"/>
        </w:rPr>
        <w:t xml:space="preserve"> </w:t>
      </w:r>
      <w:proofErr w:type="gramStart"/>
      <w:r w:rsidRPr="00DD79E1">
        <w:rPr>
          <w:rFonts w:ascii="Garamond" w:hAnsi="Garamond" w:cs="Times New Roman"/>
          <w:sz w:val="24"/>
          <w:szCs w:val="24"/>
        </w:rPr>
        <w:t>Pasal-pasal yang sudah usang, bahkan sudah tidak sesuai dengan zaman ini sehingga perlu direvisi</w:t>
      </w:r>
      <w:r>
        <w:rPr>
          <w:rFonts w:ascii="Garamond" w:hAnsi="Garamond" w:cs="Times New Roman"/>
          <w:sz w:val="24"/>
          <w:szCs w:val="24"/>
        </w:rPr>
        <w:t xml:space="preserve"> seiring pesatnya kemajuan teknologi sehingga wakaf juga perlu dengan digitalisasi.</w:t>
      </w:r>
      <w:proofErr w:type="gramEnd"/>
      <w:r>
        <w:rPr>
          <w:rFonts w:ascii="Garamond" w:hAnsi="Garamond" w:cs="Times New Roman"/>
          <w:sz w:val="24"/>
          <w:szCs w:val="24"/>
        </w:rPr>
        <w:t xml:space="preserve"> </w:t>
      </w:r>
      <w:proofErr w:type="gramStart"/>
      <w:r w:rsidRPr="00DD79E1">
        <w:rPr>
          <w:rFonts w:ascii="Garamond" w:hAnsi="Garamond" w:cs="Times New Roman"/>
          <w:sz w:val="24"/>
          <w:szCs w:val="24"/>
        </w:rPr>
        <w:t>Revisi terhadap</w:t>
      </w:r>
      <w:r>
        <w:rPr>
          <w:rFonts w:ascii="Garamond" w:hAnsi="Garamond" w:cs="Times New Roman"/>
          <w:sz w:val="24"/>
          <w:szCs w:val="24"/>
        </w:rPr>
        <w:t xml:space="preserve"> undang-undang wakaf </w:t>
      </w:r>
      <w:r w:rsidRPr="00DD79E1">
        <w:rPr>
          <w:rFonts w:ascii="Garamond" w:hAnsi="Garamond" w:cs="Times New Roman"/>
          <w:sz w:val="24"/>
          <w:szCs w:val="24"/>
        </w:rPr>
        <w:t xml:space="preserve">penting dilakukan karena sudah sangat lama dan belum </w:t>
      </w:r>
      <w:r>
        <w:rPr>
          <w:rFonts w:ascii="Garamond" w:hAnsi="Garamond" w:cs="Times New Roman"/>
          <w:sz w:val="24"/>
          <w:szCs w:val="24"/>
        </w:rPr>
        <w:t xml:space="preserve">pernah </w:t>
      </w:r>
      <w:r w:rsidRPr="00DD79E1">
        <w:rPr>
          <w:rFonts w:ascii="Garamond" w:hAnsi="Garamond" w:cs="Times New Roman"/>
          <w:sz w:val="24"/>
          <w:szCs w:val="24"/>
        </w:rPr>
        <w:t>diperbaharui</w:t>
      </w:r>
      <w:r>
        <w:rPr>
          <w:rFonts w:ascii="Garamond" w:hAnsi="Garamond" w:cs="Times New Roman"/>
          <w:sz w:val="24"/>
          <w:szCs w:val="24"/>
        </w:rPr>
        <w:t>.</w:t>
      </w:r>
      <w:proofErr w:type="gramEnd"/>
      <w:r>
        <w:rPr>
          <w:rFonts w:ascii="Garamond" w:hAnsi="Garamond" w:cs="Times New Roman"/>
          <w:sz w:val="24"/>
          <w:szCs w:val="24"/>
        </w:rPr>
        <w:t xml:space="preserve"> </w:t>
      </w:r>
      <w:r w:rsidRPr="00DD79E1">
        <w:rPr>
          <w:rFonts w:ascii="Garamond" w:hAnsi="Garamond" w:cs="Times New Roman"/>
          <w:sz w:val="24"/>
          <w:szCs w:val="24"/>
        </w:rPr>
        <w:t xml:space="preserve">Pembaruan hukum </w:t>
      </w:r>
      <w:r>
        <w:rPr>
          <w:rFonts w:ascii="Garamond" w:hAnsi="Garamond" w:cs="Times New Roman"/>
          <w:sz w:val="24"/>
          <w:szCs w:val="24"/>
        </w:rPr>
        <w:t xml:space="preserve">wakaf </w:t>
      </w:r>
      <w:r w:rsidRPr="00DD79E1">
        <w:rPr>
          <w:rFonts w:ascii="Garamond" w:hAnsi="Garamond" w:cs="Times New Roman"/>
          <w:sz w:val="24"/>
          <w:szCs w:val="24"/>
        </w:rPr>
        <w:t xml:space="preserve">dilakukan dengan mengkonstruksi </w:t>
      </w:r>
      <w:proofErr w:type="gramStart"/>
      <w:r w:rsidRPr="00DD79E1">
        <w:rPr>
          <w:rFonts w:ascii="Garamond" w:hAnsi="Garamond" w:cs="Times New Roman"/>
          <w:sz w:val="24"/>
          <w:szCs w:val="24"/>
        </w:rPr>
        <w:t>ulang  mengenai</w:t>
      </w:r>
      <w:proofErr w:type="gramEnd"/>
      <w:r w:rsidRPr="00DD79E1">
        <w:rPr>
          <w:rFonts w:ascii="Garamond" w:hAnsi="Garamond" w:cs="Times New Roman"/>
          <w:sz w:val="24"/>
          <w:szCs w:val="24"/>
        </w:rPr>
        <w:t xml:space="preserve"> bangunan hukum di Indonesia yang sudah mapan yang dianggap sudah mapan, sakral, dan abadi anti perubahan dan perbaikan</w:t>
      </w:r>
      <w:r>
        <w:rPr>
          <w:rFonts w:ascii="Garamond" w:hAnsi="Garamond" w:cs="Times New Roman"/>
          <w:sz w:val="24"/>
          <w:szCs w:val="24"/>
        </w:rPr>
        <w:t xml:space="preserve">. </w:t>
      </w:r>
      <w:proofErr w:type="gramStart"/>
      <w:r w:rsidRPr="00DD79E1">
        <w:rPr>
          <w:rFonts w:ascii="Garamond" w:hAnsi="Garamond" w:cs="Times New Roman"/>
          <w:sz w:val="24"/>
          <w:szCs w:val="24"/>
        </w:rPr>
        <w:t>Padahal sesungguhnya, setiap yang diciptakan oleh oleh manusia pastilah tidak terlepas dari khilaf.</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Sehingga, setiap yang dihadirkan oleh manusia dan berpotensi terdapat kesalahan bisa dilakukan perubahan sesuai dengan waktu dan kemaslahatan oleh masyarakat pada zamannya masing-masing.</w:t>
      </w:r>
      <w:proofErr w:type="gramEnd"/>
      <w:r>
        <w:rPr>
          <w:rFonts w:ascii="Garamond" w:hAnsi="Garamond" w:cs="Times New Roman"/>
          <w:sz w:val="24"/>
          <w:szCs w:val="24"/>
        </w:rPr>
        <w:t xml:space="preserve"> </w:t>
      </w:r>
      <w:proofErr w:type="gramStart"/>
      <w:r w:rsidRPr="00DD79E1">
        <w:rPr>
          <w:rFonts w:ascii="Garamond" w:hAnsi="Garamond" w:cs="Times New Roman"/>
          <w:sz w:val="24"/>
          <w:szCs w:val="24"/>
          <w:shd w:val="clear" w:color="auto" w:fill="FFFFFF"/>
        </w:rPr>
        <w:t>Revisi atau pembaruan terhadap hukum</w:t>
      </w:r>
      <w:r>
        <w:rPr>
          <w:rFonts w:ascii="Garamond" w:hAnsi="Garamond" w:cs="Times New Roman"/>
          <w:sz w:val="24"/>
          <w:szCs w:val="24"/>
          <w:shd w:val="clear" w:color="auto" w:fill="FFFFFF"/>
        </w:rPr>
        <w:t xml:space="preserve"> wakaf </w:t>
      </w:r>
      <w:r w:rsidRPr="00DD79E1">
        <w:rPr>
          <w:rFonts w:ascii="Garamond" w:hAnsi="Garamond" w:cs="Times New Roman"/>
          <w:sz w:val="24"/>
          <w:szCs w:val="24"/>
          <w:shd w:val="clear" w:color="auto" w:fill="FFFFFF"/>
        </w:rPr>
        <w:t xml:space="preserve">tentu bertujuan agar ajaran yang </w:t>
      </w:r>
      <w:r w:rsidRPr="00DD79E1">
        <w:rPr>
          <w:rFonts w:ascii="Garamond" w:hAnsi="Garamond" w:cs="Times New Roman"/>
          <w:sz w:val="24"/>
          <w:szCs w:val="24"/>
          <w:shd w:val="clear" w:color="auto" w:fill="FFFFFF"/>
        </w:rPr>
        <w:lastRenderedPageBreak/>
        <w:t>bersumber dari Allah dan Rasul ini tetap bisa diterima oleh masyarakat modern.</w:t>
      </w:r>
      <w:proofErr w:type="gramEnd"/>
      <w:r w:rsidRPr="00DD79E1">
        <w:rPr>
          <w:rFonts w:ascii="Garamond" w:hAnsi="Garamond" w:cs="Times New Roman"/>
          <w:sz w:val="24"/>
          <w:szCs w:val="24"/>
          <w:shd w:val="clear" w:color="auto" w:fill="FFFFFF"/>
        </w:rPr>
        <w:t xml:space="preserve"> </w:t>
      </w:r>
      <w:proofErr w:type="gramStart"/>
      <w:r w:rsidRPr="00DD79E1">
        <w:rPr>
          <w:rFonts w:ascii="Garamond" w:hAnsi="Garamond" w:cs="Times New Roman"/>
          <w:sz w:val="24"/>
          <w:szCs w:val="24"/>
          <w:shd w:val="clear" w:color="auto" w:fill="FFFFFF"/>
        </w:rPr>
        <w:t>Pembaruan dalam rangka guna mengembalikan kontekstualitas dan aktualitas hukum Islam serta dalam rangka menjembatani antara ajaran teoretis yang adala dalam kitab-kitab fikih klasik yang merupakan hasil ijtihad para mujtahid dengan kebutuhan masyarakat atau umat Islam di zaman ini.</w:t>
      </w:r>
      <w:proofErr w:type="gramEnd"/>
      <w:r>
        <w:rPr>
          <w:rFonts w:ascii="Garamond" w:hAnsi="Garamond" w:cs="Times New Roman"/>
          <w:sz w:val="24"/>
          <w:szCs w:val="24"/>
          <w:shd w:val="clear" w:color="auto" w:fill="FFFFFF"/>
        </w:rPr>
        <w:t xml:space="preserve"> </w:t>
      </w:r>
      <w:proofErr w:type="gramStart"/>
      <w:r w:rsidRPr="00DD79E1">
        <w:rPr>
          <w:rFonts w:ascii="Garamond" w:hAnsi="Garamond" w:cs="Times New Roman"/>
          <w:sz w:val="24"/>
          <w:szCs w:val="24"/>
        </w:rPr>
        <w:t xml:space="preserve">Inilah pentingnya untuk menata kembali aturan tentang </w:t>
      </w:r>
      <w:r>
        <w:rPr>
          <w:rFonts w:ascii="Garamond" w:hAnsi="Garamond" w:cs="Times New Roman"/>
          <w:sz w:val="24"/>
          <w:szCs w:val="24"/>
        </w:rPr>
        <w:t xml:space="preserve">wakaf </w:t>
      </w:r>
      <w:r w:rsidRPr="00DD79E1">
        <w:rPr>
          <w:rFonts w:ascii="Garamond" w:hAnsi="Garamond" w:cs="Times New Roman"/>
          <w:sz w:val="24"/>
          <w:szCs w:val="24"/>
        </w:rPr>
        <w:t>di Indonesia</w:t>
      </w:r>
      <w:r>
        <w:rPr>
          <w:rFonts w:ascii="Garamond" w:hAnsi="Garamond" w:cs="Times New Roman"/>
          <w:sz w:val="24"/>
          <w:szCs w:val="24"/>
        </w:rPr>
        <w:t xml:space="preserve"> agar lebih relevan dengan perkembangan zaman.</w:t>
      </w:r>
      <w:proofErr w:type="gramEnd"/>
    </w:p>
    <w:p w:rsidR="00215399" w:rsidRPr="00DD79E1" w:rsidRDefault="009847D7">
      <w:pPr>
        <w:pBdr>
          <w:top w:val="nil"/>
          <w:left w:val="nil"/>
          <w:bottom w:val="nil"/>
          <w:right w:val="nil"/>
          <w:between w:val="nil"/>
        </w:pBdr>
        <w:spacing w:before="120" w:after="0" w:line="240" w:lineRule="auto"/>
        <w:jc w:val="both"/>
        <w:rPr>
          <w:rFonts w:ascii="Garamond" w:eastAsia="Garamond" w:hAnsi="Garamond" w:cs="Garamond"/>
          <w:sz w:val="24"/>
          <w:szCs w:val="24"/>
        </w:rPr>
      </w:pPr>
      <w:r w:rsidRPr="00DD79E1">
        <w:rPr>
          <w:rFonts w:ascii="Garamond" w:eastAsia="Garamond" w:hAnsi="Garamond" w:cs="Garamond"/>
          <w:b/>
          <w:sz w:val="24"/>
          <w:szCs w:val="24"/>
        </w:rPr>
        <w:t xml:space="preserve">Conclusion </w:t>
      </w:r>
    </w:p>
    <w:p w:rsidR="00316CEF" w:rsidRPr="00DD79E1" w:rsidRDefault="00316CEF" w:rsidP="008E554C">
      <w:pPr>
        <w:spacing w:before="1" w:after="0" w:line="240" w:lineRule="auto"/>
        <w:ind w:right="339" w:firstLine="709"/>
        <w:jc w:val="both"/>
        <w:rPr>
          <w:rFonts w:ascii="Garamond" w:hAnsi="Garamond" w:cs="Times New Roman"/>
          <w:sz w:val="24"/>
          <w:szCs w:val="24"/>
        </w:rPr>
      </w:pPr>
      <w:proofErr w:type="gramStart"/>
      <w:r w:rsidRPr="00DD79E1">
        <w:rPr>
          <w:rFonts w:ascii="Garamond" w:hAnsi="Garamond" w:cs="Times New Roman"/>
          <w:bCs/>
          <w:sz w:val="24"/>
          <w:szCs w:val="24"/>
        </w:rPr>
        <w:t xml:space="preserve">Problematika perwakafan di Provinsi Lampung dan Sumatera Selatan meliputi </w:t>
      </w:r>
      <w:r w:rsidRPr="00DD79E1">
        <w:rPr>
          <w:rFonts w:ascii="Garamond" w:eastAsia="Times New Roman" w:hAnsi="Garamond" w:cs="Times New Roman"/>
          <w:w w:val="95"/>
          <w:sz w:val="24"/>
          <w:szCs w:val="24"/>
        </w:rPr>
        <w:t>manajemen pengelolaan wakaf belum sehat</w:t>
      </w:r>
      <w:r w:rsidR="008E554C" w:rsidRPr="00DD79E1">
        <w:rPr>
          <w:rFonts w:ascii="Garamond" w:eastAsia="Times New Roman" w:hAnsi="Garamond" w:cs="Times New Roman"/>
          <w:w w:val="95"/>
          <w:sz w:val="24"/>
          <w:szCs w:val="24"/>
        </w:rPr>
        <w:t xml:space="preserve"> karena masih tradisional, belum sepenuhnya produktif.</w:t>
      </w:r>
      <w:proofErr w:type="gramEnd"/>
      <w:r w:rsidR="008E554C" w:rsidRPr="00DD79E1">
        <w:rPr>
          <w:rFonts w:ascii="Garamond" w:eastAsia="Times New Roman" w:hAnsi="Garamond" w:cs="Times New Roman"/>
          <w:w w:val="95"/>
          <w:sz w:val="24"/>
          <w:szCs w:val="24"/>
        </w:rPr>
        <w:t xml:space="preserve"> </w:t>
      </w:r>
      <w:proofErr w:type="gramStart"/>
      <w:r w:rsidR="008E554C" w:rsidRPr="00DD79E1">
        <w:rPr>
          <w:rFonts w:ascii="Garamond" w:eastAsia="Times New Roman" w:hAnsi="Garamond" w:cs="Times New Roman"/>
          <w:w w:val="95"/>
          <w:sz w:val="24"/>
          <w:szCs w:val="24"/>
        </w:rPr>
        <w:t>Kemudian, masih</w:t>
      </w:r>
      <w:r w:rsidRPr="00DD79E1">
        <w:rPr>
          <w:rFonts w:ascii="Garamond" w:eastAsia="Times New Roman" w:hAnsi="Garamond" w:cs="Times New Roman"/>
          <w:w w:val="95"/>
          <w:sz w:val="24"/>
          <w:szCs w:val="24"/>
        </w:rPr>
        <w:t xml:space="preserve"> minimnya sosialisasi dan literasi wakaf.</w:t>
      </w:r>
      <w:proofErr w:type="gramEnd"/>
      <w:r w:rsidRPr="00DD79E1">
        <w:rPr>
          <w:rFonts w:ascii="Garamond" w:eastAsia="Times New Roman" w:hAnsi="Garamond" w:cs="Times New Roman"/>
          <w:w w:val="95"/>
          <w:sz w:val="24"/>
          <w:szCs w:val="24"/>
        </w:rPr>
        <w:t xml:space="preserve"> </w:t>
      </w:r>
      <w:proofErr w:type="gramStart"/>
      <w:r w:rsidRPr="00DD79E1">
        <w:rPr>
          <w:rFonts w:ascii="Garamond" w:eastAsia="Times New Roman" w:hAnsi="Garamond" w:cs="Times New Roman"/>
          <w:w w:val="95"/>
          <w:sz w:val="24"/>
          <w:szCs w:val="24"/>
        </w:rPr>
        <w:t xml:space="preserve">Saat ini, umat Islam masih lebih mengenal zakat dengan lembaga </w:t>
      </w:r>
      <w:r w:rsidR="008E554C" w:rsidRPr="00DD79E1">
        <w:rPr>
          <w:rFonts w:ascii="Garamond" w:eastAsia="Times New Roman" w:hAnsi="Garamond" w:cs="Times New Roman"/>
          <w:w w:val="95"/>
          <w:sz w:val="24"/>
          <w:szCs w:val="24"/>
        </w:rPr>
        <w:t xml:space="preserve">Baznas ketimbang </w:t>
      </w:r>
      <w:r w:rsidRPr="00DD79E1">
        <w:rPr>
          <w:rFonts w:ascii="Garamond" w:eastAsia="Times New Roman" w:hAnsi="Garamond" w:cs="Times New Roman"/>
          <w:w w:val="95"/>
          <w:sz w:val="24"/>
          <w:szCs w:val="24"/>
        </w:rPr>
        <w:t xml:space="preserve">wakaf dengan </w:t>
      </w:r>
      <w:r w:rsidR="008E554C" w:rsidRPr="00DD79E1">
        <w:rPr>
          <w:rFonts w:ascii="Garamond" w:eastAsia="Times New Roman" w:hAnsi="Garamond" w:cs="Times New Roman"/>
          <w:w w:val="95"/>
          <w:sz w:val="24"/>
          <w:szCs w:val="24"/>
        </w:rPr>
        <w:t>BWI</w:t>
      </w:r>
      <w:r w:rsidRPr="00DD79E1">
        <w:rPr>
          <w:rFonts w:ascii="Garamond" w:eastAsia="Times New Roman" w:hAnsi="Garamond" w:cs="Times New Roman"/>
          <w:w w:val="95"/>
          <w:sz w:val="24"/>
          <w:szCs w:val="24"/>
        </w:rPr>
        <w: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Problem lainnya adalah kurangnya kompetensi sumber daya nazhir.</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Problem </w:t>
      </w:r>
      <w:r w:rsidR="008E554C" w:rsidRPr="00DD79E1">
        <w:rPr>
          <w:rFonts w:ascii="Garamond" w:hAnsi="Garamond" w:cs="Times New Roman"/>
          <w:sz w:val="24"/>
          <w:szCs w:val="24"/>
        </w:rPr>
        <w:t xml:space="preserve">selanjutnya </w:t>
      </w:r>
      <w:r w:rsidRPr="00DD79E1">
        <w:rPr>
          <w:rFonts w:ascii="Garamond" w:hAnsi="Garamond" w:cs="Times New Roman"/>
          <w:sz w:val="24"/>
          <w:szCs w:val="24"/>
        </w:rPr>
        <w:t xml:space="preserve">dukungan dari </w:t>
      </w:r>
      <w:r w:rsidRPr="00DD79E1">
        <w:rPr>
          <w:rFonts w:ascii="Garamond" w:eastAsia="Times New Roman" w:hAnsi="Garamond" w:cs="Times New Roman"/>
          <w:sz w:val="24"/>
          <w:szCs w:val="24"/>
        </w:rPr>
        <w:t>p</w:t>
      </w:r>
      <w:r w:rsidRPr="00DD79E1">
        <w:rPr>
          <w:rFonts w:ascii="Garamond" w:hAnsi="Garamond" w:cs="Times New Roman"/>
          <w:sz w:val="24"/>
          <w:szCs w:val="24"/>
        </w:rPr>
        <w:t>emerintah dan masyarakat terhadap wakaf masih rendah.</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Akibat dari problem-problem tersebut pengelolaan wakaf di dua provinsi tersebut belum maksimal dan belum mampu meningkatkan ekonomi umat.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 xml:space="preserve">Sehingga perlu tata kelola perwakafan yang modern dengan </w:t>
      </w:r>
      <w:r w:rsidRPr="00DD79E1">
        <w:rPr>
          <w:rFonts w:ascii="Garamond" w:hAnsi="Garamond" w:cs="Times New Roman"/>
          <w:bCs/>
          <w:sz w:val="24"/>
          <w:szCs w:val="24"/>
        </w:rPr>
        <w:t>sejumlah langkah.</w:t>
      </w:r>
      <w:proofErr w:type="gramEnd"/>
      <w:r w:rsidRPr="00DD79E1">
        <w:rPr>
          <w:rFonts w:ascii="Garamond" w:hAnsi="Garamond" w:cs="Times New Roman"/>
          <w:bCs/>
          <w:sz w:val="24"/>
          <w:szCs w:val="24"/>
        </w:rPr>
        <w:t xml:space="preserve"> </w:t>
      </w:r>
      <w:proofErr w:type="gramStart"/>
      <w:r w:rsidRPr="00DD79E1">
        <w:rPr>
          <w:rFonts w:ascii="Garamond" w:hAnsi="Garamond" w:cs="Times New Roman"/>
          <w:bCs/>
          <w:i/>
          <w:sz w:val="24"/>
          <w:szCs w:val="24"/>
        </w:rPr>
        <w:t>Pertama,</w:t>
      </w:r>
      <w:r w:rsidRPr="00DD79E1">
        <w:rPr>
          <w:rFonts w:ascii="Garamond" w:hAnsi="Garamond" w:cs="Times New Roman"/>
          <w:bCs/>
          <w:sz w:val="24"/>
          <w:szCs w:val="24"/>
        </w:rPr>
        <w:t xml:space="preserve"> melakukan penguatan hukum wakaf dengan pembaruan </w:t>
      </w:r>
      <w:r w:rsidRPr="00DD79E1">
        <w:rPr>
          <w:rFonts w:ascii="Garamond" w:hAnsi="Garamond" w:cs="Times New Roman"/>
          <w:sz w:val="24"/>
          <w:szCs w:val="24"/>
        </w:rPr>
        <w:t>U</w:t>
      </w:r>
      <w:r w:rsidR="008E554C" w:rsidRPr="00DD79E1">
        <w:rPr>
          <w:rFonts w:ascii="Garamond" w:hAnsi="Garamond" w:cs="Times New Roman"/>
          <w:sz w:val="24"/>
          <w:szCs w:val="24"/>
        </w:rPr>
        <w:t xml:space="preserve">U </w:t>
      </w:r>
      <w:r w:rsidRPr="00DD79E1">
        <w:rPr>
          <w:rFonts w:ascii="Garamond" w:hAnsi="Garamond" w:cs="Times New Roman"/>
          <w:sz w:val="24"/>
          <w:szCs w:val="24"/>
        </w:rPr>
        <w:t>No</w:t>
      </w:r>
      <w:r w:rsidR="008E554C" w:rsidRPr="00DD79E1">
        <w:rPr>
          <w:rFonts w:ascii="Garamond" w:hAnsi="Garamond" w:cs="Times New Roman"/>
          <w:sz w:val="24"/>
          <w:szCs w:val="24"/>
        </w:rPr>
        <w:t>.</w:t>
      </w:r>
      <w:r w:rsidRPr="00DD79E1">
        <w:rPr>
          <w:rFonts w:ascii="Garamond" w:hAnsi="Garamond" w:cs="Times New Roman"/>
          <w:sz w:val="24"/>
          <w:szCs w:val="24"/>
        </w:rPr>
        <w:t xml:space="preserve">41 Tahun 2004 tentang Wakaf agar lebih responsif terhadap </w:t>
      </w:r>
      <w:r w:rsidR="008E554C" w:rsidRPr="00DD79E1">
        <w:rPr>
          <w:rFonts w:ascii="Garamond" w:hAnsi="Garamond" w:cs="Times New Roman"/>
          <w:sz w:val="24"/>
          <w:szCs w:val="24"/>
        </w:rPr>
        <w:t xml:space="preserve">perubahan </w:t>
      </w:r>
      <w:r w:rsidRPr="00DD79E1">
        <w:rPr>
          <w:rFonts w:ascii="Garamond" w:hAnsi="Garamond" w:cs="Times New Roman"/>
          <w:sz w:val="24"/>
          <w:szCs w:val="24"/>
        </w:rPr>
        <w:t>zaman.</w:t>
      </w:r>
      <w:proofErr w:type="gramEnd"/>
      <w:r w:rsidRPr="00DD79E1">
        <w:rPr>
          <w:rFonts w:ascii="Garamond" w:hAnsi="Garamond" w:cs="Times New Roman"/>
          <w:sz w:val="24"/>
          <w:szCs w:val="24"/>
        </w:rPr>
        <w:t xml:space="preserve"> </w:t>
      </w:r>
      <w:proofErr w:type="gramStart"/>
      <w:r w:rsidRPr="00DD79E1">
        <w:rPr>
          <w:rFonts w:ascii="Garamond" w:hAnsi="Garamond" w:cs="Times New Roman"/>
          <w:i/>
          <w:sz w:val="24"/>
          <w:szCs w:val="24"/>
        </w:rPr>
        <w:t>Kedua,</w:t>
      </w:r>
      <w:r w:rsidRPr="00DD79E1">
        <w:rPr>
          <w:rFonts w:ascii="Garamond" w:hAnsi="Garamond" w:cs="Times New Roman"/>
          <w:sz w:val="24"/>
          <w:szCs w:val="24"/>
        </w:rPr>
        <w:t xml:space="preserve"> peningkatan profesionalisme nazhir.</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Dengan nazhir profesional bisa mengembangkan wakaf tunai sekaligus meng</w:t>
      </w:r>
      <w:bookmarkStart w:id="1" w:name="_GoBack"/>
      <w:bookmarkEnd w:id="1"/>
      <w:r w:rsidRPr="00DD79E1">
        <w:rPr>
          <w:rFonts w:ascii="Garamond" w:hAnsi="Garamond" w:cs="Times New Roman"/>
          <w:sz w:val="24"/>
          <w:szCs w:val="24"/>
        </w:rPr>
        <w:t>alihkan usaha tradisional kepada usaha-usaha yang lebih menguntungkan, seperti rumah sakit, hotel, wisata halal, dan lainnya.</w:t>
      </w:r>
      <w:proofErr w:type="gramEnd"/>
      <w:r w:rsidRPr="00DD79E1">
        <w:rPr>
          <w:rFonts w:ascii="Garamond" w:hAnsi="Garamond" w:cs="Times New Roman"/>
          <w:sz w:val="24"/>
          <w:szCs w:val="24"/>
        </w:rPr>
        <w:t xml:space="preserve"> </w:t>
      </w:r>
      <w:proofErr w:type="gramStart"/>
      <w:r w:rsidR="008E554C" w:rsidRPr="00DD79E1">
        <w:rPr>
          <w:rFonts w:ascii="Garamond" w:hAnsi="Garamond" w:cs="Times New Roman"/>
          <w:sz w:val="24"/>
          <w:szCs w:val="24"/>
        </w:rPr>
        <w:t xml:space="preserve">Karena wakaf </w:t>
      </w:r>
      <w:r w:rsidRPr="00DD79E1">
        <w:rPr>
          <w:rFonts w:ascii="Garamond" w:hAnsi="Garamond" w:cs="Times New Roman"/>
          <w:sz w:val="24"/>
          <w:szCs w:val="24"/>
        </w:rPr>
        <w:t xml:space="preserve">produktif </w:t>
      </w:r>
      <w:r w:rsidR="008E554C" w:rsidRPr="00DD79E1">
        <w:rPr>
          <w:rFonts w:ascii="Garamond" w:hAnsi="Garamond" w:cs="Times New Roman"/>
          <w:sz w:val="24"/>
          <w:szCs w:val="24"/>
        </w:rPr>
        <w:t xml:space="preserve">menekankan pada </w:t>
      </w:r>
      <w:r w:rsidRPr="00DD79E1">
        <w:rPr>
          <w:rFonts w:ascii="Garamond" w:hAnsi="Garamond" w:cs="Times New Roman"/>
          <w:sz w:val="24"/>
          <w:szCs w:val="24"/>
        </w:rPr>
        <w:t xml:space="preserve">pemanfaatan secara ekonomis yang </w:t>
      </w:r>
      <w:r w:rsidR="008E554C" w:rsidRPr="00DD79E1">
        <w:rPr>
          <w:rFonts w:ascii="Garamond" w:hAnsi="Garamond" w:cs="Times New Roman"/>
          <w:sz w:val="24"/>
          <w:szCs w:val="24"/>
        </w:rPr>
        <w:t>lebih menguntungkan dan hasilnya untuk peningkatan ekonomi umat</w:t>
      </w:r>
      <w:r w:rsidRPr="00DD79E1">
        <w:rPr>
          <w:rFonts w:ascii="Garamond" w:hAnsi="Garamond" w:cs="Times New Roman"/>
          <w:sz w:val="24"/>
          <w:szCs w:val="24"/>
        </w:rPr>
        <w:t>.</w:t>
      </w:r>
      <w:proofErr w:type="gramEnd"/>
      <w:r w:rsidRPr="00DD79E1">
        <w:rPr>
          <w:rFonts w:ascii="Garamond" w:hAnsi="Garamond" w:cs="Times New Roman"/>
          <w:sz w:val="24"/>
          <w:szCs w:val="24"/>
        </w:rPr>
        <w:t xml:space="preserve"> </w:t>
      </w:r>
      <w:proofErr w:type="gramStart"/>
      <w:r w:rsidRPr="00DD79E1">
        <w:rPr>
          <w:rFonts w:ascii="Garamond" w:hAnsi="Garamond" w:cs="Times New Roman"/>
          <w:i/>
          <w:sz w:val="24"/>
          <w:szCs w:val="24"/>
        </w:rPr>
        <w:t>Ketiga,</w:t>
      </w:r>
      <w:r w:rsidRPr="00DD79E1">
        <w:rPr>
          <w:rFonts w:ascii="Garamond" w:hAnsi="Garamond" w:cs="Times New Roman"/>
          <w:sz w:val="24"/>
          <w:szCs w:val="24"/>
        </w:rPr>
        <w:t xml:space="preserve"> transparansi dan akuntabilitas demi terwujudnya kepercayaan publik dan terakhir adalah pengawasan ketat dengan pelibatan masyarakat.</w:t>
      </w:r>
      <w:proofErr w:type="gramEnd"/>
      <w:r w:rsidRPr="00DD79E1">
        <w:rPr>
          <w:rFonts w:ascii="Garamond" w:hAnsi="Garamond" w:cs="Times New Roman"/>
          <w:sz w:val="24"/>
          <w:szCs w:val="24"/>
        </w:rPr>
        <w:t xml:space="preserve"> </w:t>
      </w:r>
      <w:proofErr w:type="gramStart"/>
      <w:r w:rsidRPr="00DD79E1">
        <w:rPr>
          <w:rFonts w:ascii="Garamond" w:hAnsi="Garamond" w:cs="Times New Roman"/>
          <w:sz w:val="24"/>
          <w:szCs w:val="24"/>
        </w:rPr>
        <w:t>Dengan tata kelola wakaf modern maka tujuan wakaf untuk menyejahterakan ekonomi umat dapat terwujud.</w:t>
      </w:r>
      <w:proofErr w:type="gramEnd"/>
    </w:p>
    <w:p w:rsidR="00215399" w:rsidRPr="00DD79E1" w:rsidRDefault="009847D7" w:rsidP="00316CEF">
      <w:pPr>
        <w:spacing w:before="120" w:after="0" w:line="240" w:lineRule="auto"/>
        <w:rPr>
          <w:rFonts w:ascii="Garamond" w:eastAsia="Garamond" w:hAnsi="Garamond" w:cs="Garamond"/>
          <w:sz w:val="24"/>
          <w:szCs w:val="24"/>
        </w:rPr>
      </w:pPr>
      <w:r w:rsidRPr="00DD79E1">
        <w:rPr>
          <w:rFonts w:ascii="Garamond" w:eastAsia="Garamond" w:hAnsi="Garamond" w:cs="Garamond"/>
          <w:b/>
          <w:sz w:val="24"/>
          <w:szCs w:val="24"/>
        </w:rPr>
        <w:t>References</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sz w:val="24"/>
          <w:szCs w:val="24"/>
        </w:rPr>
        <w:fldChar w:fldCharType="begin" w:fldLock="1"/>
      </w:r>
      <w:r w:rsidRPr="00DD79E1">
        <w:rPr>
          <w:rFonts w:ascii="Garamond" w:hAnsi="Garamond" w:cs="Times New Roman"/>
          <w:sz w:val="24"/>
          <w:szCs w:val="24"/>
        </w:rPr>
        <w:instrText xml:space="preserve">ADDIN Mendeley Bibliography CSL_BIBLIOGRAPHY </w:instrText>
      </w:r>
      <w:r w:rsidRPr="00DD79E1">
        <w:rPr>
          <w:rFonts w:ascii="Garamond" w:hAnsi="Garamond" w:cs="Times New Roman"/>
          <w:sz w:val="24"/>
          <w:szCs w:val="24"/>
        </w:rPr>
        <w:fldChar w:fldCharType="separate"/>
      </w:r>
      <w:r w:rsidRPr="00DD79E1">
        <w:rPr>
          <w:rFonts w:ascii="Garamond" w:hAnsi="Garamond" w:cs="Times New Roman"/>
          <w:noProof/>
          <w:sz w:val="24"/>
          <w:szCs w:val="24"/>
        </w:rPr>
        <w:t>Abduh, M, ‘NoThe Role of Islamic Social Finance in Achieving SDG Number 2: End Hunger, Achieve Food Security and Improved Nutrition and Promote Sustainable Agriculture’ (Al-Shajarah, 2019), p. 185–206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Abdurrahman, </w:t>
      </w:r>
      <w:r w:rsidRPr="00DD79E1">
        <w:rPr>
          <w:rFonts w:ascii="Garamond" w:hAnsi="Garamond" w:cs="Times New Roman"/>
          <w:i/>
          <w:iCs/>
          <w:noProof/>
          <w:sz w:val="24"/>
          <w:szCs w:val="24"/>
        </w:rPr>
        <w:t>Masalah Perwakafan Tanah Milik Dan Kedudukan Tanah Wakaf Di Negara Kita</w:t>
      </w:r>
      <w:r w:rsidRPr="00DD79E1">
        <w:rPr>
          <w:rFonts w:ascii="Garamond" w:hAnsi="Garamond" w:cs="Times New Roman"/>
          <w:noProof/>
          <w:sz w:val="24"/>
          <w:szCs w:val="24"/>
        </w:rPr>
        <w:t xml:space="preserve"> (Bandung: Alumni, 1984)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Abi Yahya Zakariya Al-Anshari, </w:t>
      </w:r>
      <w:r w:rsidRPr="00DD79E1">
        <w:rPr>
          <w:rFonts w:ascii="Garamond" w:hAnsi="Garamond" w:cs="Times New Roman"/>
          <w:i/>
          <w:iCs/>
          <w:noProof/>
          <w:sz w:val="24"/>
          <w:szCs w:val="24"/>
        </w:rPr>
        <w:t>Fathu Al Wahab,Juz I</w:t>
      </w:r>
      <w:r w:rsidRPr="00DD79E1">
        <w:rPr>
          <w:rFonts w:ascii="Garamond" w:hAnsi="Garamond" w:cs="Times New Roman"/>
          <w:noProof/>
          <w:sz w:val="24"/>
          <w:szCs w:val="24"/>
        </w:rPr>
        <w:t xml:space="preserve"> (Indonesia: Daru Ihya’i Al Kuu Al Arabiyah, 1989)</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Abu Achmadi, Cholid Narbuko, </w:t>
      </w:r>
      <w:r w:rsidRPr="00DD79E1">
        <w:rPr>
          <w:rFonts w:ascii="Garamond" w:hAnsi="Garamond" w:cs="Times New Roman"/>
          <w:i/>
          <w:iCs/>
          <w:noProof/>
          <w:sz w:val="24"/>
          <w:szCs w:val="24"/>
        </w:rPr>
        <w:t>Metodologi Penelitian</w:t>
      </w:r>
      <w:r w:rsidRPr="00DD79E1">
        <w:rPr>
          <w:rFonts w:ascii="Garamond" w:hAnsi="Garamond" w:cs="Times New Roman"/>
          <w:noProof/>
          <w:sz w:val="24"/>
          <w:szCs w:val="24"/>
        </w:rPr>
        <w:t xml:space="preserve"> (Jakarta: Bumi Aksara, 2006)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Ardy, Muhammad Beni, ‘Analisis SWOT Terhadap Wakaf Tunai Di Badan Wakaf Indonesia Provinsi Sumatera Selatan’ (Jurnal Intelektualita: Keislaman, Sosial, dan Sains Vol. 10 No. 1, 2021)</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lastRenderedPageBreak/>
        <w:t xml:space="preserve">Attoillah, M, </w:t>
      </w:r>
      <w:r w:rsidRPr="00DD79E1">
        <w:rPr>
          <w:rFonts w:ascii="Garamond" w:hAnsi="Garamond" w:cs="Times New Roman"/>
          <w:i/>
          <w:iCs/>
          <w:noProof/>
          <w:sz w:val="24"/>
          <w:szCs w:val="24"/>
        </w:rPr>
        <w:t>Hukum Wakaf, Cetakan Pertama</w:t>
      </w:r>
      <w:r w:rsidRPr="00DD79E1">
        <w:rPr>
          <w:rFonts w:ascii="Garamond" w:hAnsi="Garamond" w:cs="Times New Roman"/>
          <w:noProof/>
          <w:sz w:val="24"/>
          <w:szCs w:val="24"/>
        </w:rPr>
        <w:t xml:space="preserve"> (Bandung: Yrama Widya, 2014)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Departemen Agama RI, </w:t>
      </w:r>
      <w:r w:rsidRPr="00DD79E1">
        <w:rPr>
          <w:rFonts w:ascii="Garamond" w:hAnsi="Garamond" w:cs="Times New Roman"/>
          <w:i/>
          <w:iCs/>
          <w:noProof/>
          <w:sz w:val="24"/>
          <w:szCs w:val="24"/>
        </w:rPr>
        <w:t>Paradigma Baru Wakaf Di Indonesia</w:t>
      </w:r>
      <w:r w:rsidRPr="00DD79E1">
        <w:rPr>
          <w:rFonts w:ascii="Garamond" w:hAnsi="Garamond" w:cs="Times New Roman"/>
          <w:noProof/>
          <w:sz w:val="24"/>
          <w:szCs w:val="24"/>
        </w:rPr>
        <w:t xml:space="preserve"> (Jakarta: Direktorat Pemberdayaan Wakaf, 2014)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 </w:t>
      </w:r>
      <w:r w:rsidRPr="00DD79E1">
        <w:rPr>
          <w:rFonts w:ascii="Garamond" w:hAnsi="Garamond" w:cs="Times New Roman"/>
          <w:i/>
          <w:iCs/>
          <w:noProof/>
          <w:sz w:val="24"/>
          <w:szCs w:val="24"/>
        </w:rPr>
        <w:t>Paradigma Baru Wakaf Di Indonesia</w:t>
      </w:r>
      <w:r w:rsidRPr="00DD79E1">
        <w:rPr>
          <w:rFonts w:ascii="Garamond" w:hAnsi="Garamond" w:cs="Times New Roman"/>
          <w:noProof/>
          <w:sz w:val="24"/>
          <w:szCs w:val="24"/>
        </w:rPr>
        <w:t xml:space="preserve"> (Jakarta: Direktorat Pemberdaya Wakaf, 2014)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Dewan Redaksi Ensiklopedia Islam, </w:t>
      </w:r>
      <w:r w:rsidRPr="00DD79E1">
        <w:rPr>
          <w:rFonts w:ascii="Garamond" w:hAnsi="Garamond" w:cs="Times New Roman"/>
          <w:i/>
          <w:iCs/>
          <w:noProof/>
          <w:sz w:val="24"/>
          <w:szCs w:val="24"/>
        </w:rPr>
        <w:t>Ensiklopedia Islam, Jilid 5</w:t>
      </w:r>
      <w:r w:rsidRPr="00DD79E1">
        <w:rPr>
          <w:rFonts w:ascii="Garamond" w:hAnsi="Garamond" w:cs="Times New Roman"/>
          <w:noProof/>
          <w:sz w:val="24"/>
          <w:szCs w:val="24"/>
        </w:rPr>
        <w:t xml:space="preserve"> (Jakarta: Ichtiar Baru Van Hoeve, 1997)</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Fadilah.S, ‘Going Concern: An Implementation in Waqf Institutions (Religious Charitable Endowment’, 201AD</w:t>
      </w:r>
    </w:p>
    <w:p w:rsidR="00316CEF" w:rsidRPr="00DD79E1" w:rsidRDefault="00316CEF" w:rsidP="00316CEF">
      <w:pPr>
        <w:widowControl w:val="0"/>
        <w:autoSpaceDE w:val="0"/>
        <w:autoSpaceDN w:val="0"/>
        <w:adjustRightInd w:val="0"/>
        <w:spacing w:line="240" w:lineRule="auto"/>
        <w:ind w:left="480" w:hanging="480"/>
        <w:rPr>
          <w:rFonts w:ascii="Garamond" w:hAnsi="Garamond" w:cs="Times New Roman"/>
          <w:sz w:val="24"/>
          <w:szCs w:val="24"/>
        </w:rPr>
      </w:pPr>
      <w:r w:rsidRPr="00DD79E1">
        <w:rPr>
          <w:rFonts w:ascii="Garamond" w:hAnsi="Garamond" w:cs="Times New Roman"/>
          <w:sz w:val="24"/>
          <w:szCs w:val="24"/>
        </w:rPr>
        <w:t xml:space="preserve">Fathul Mu’in, Meli Yanti, ‘Pengaruh Pemahaman Masyarakat Terhadap Pergantian Nasab Anak Oleh Ayah Angkat Perspektif Hukum Islam’, </w:t>
      </w:r>
      <w:r w:rsidRPr="00DD79E1">
        <w:rPr>
          <w:rFonts w:ascii="Garamond" w:hAnsi="Garamond" w:cs="Times New Roman"/>
          <w:i/>
          <w:iCs/>
          <w:sz w:val="24"/>
          <w:szCs w:val="24"/>
        </w:rPr>
        <w:t>Syakhshiyyah Jurnal Hukum Keluarga Islam</w:t>
      </w:r>
      <w:r w:rsidRPr="00DD79E1">
        <w:rPr>
          <w:rFonts w:ascii="Garamond" w:hAnsi="Garamond" w:cs="Times New Roman"/>
          <w:sz w:val="24"/>
          <w:szCs w:val="24"/>
        </w:rPr>
        <w:t>, Jilid 3.terbitan 2, h. 176-192 &lt;https://doi.org/10.32332/syakhshiyyah.v3i2.7926&gt;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Hasan, Rashedul, Siti Alawiah Siraj, and Muslim Har Sani Mohamad, ‘Antecedents and Outcome of Waqif’s Trust in Waqf Institution’, </w:t>
      </w:r>
      <w:r w:rsidRPr="00DD79E1">
        <w:rPr>
          <w:rFonts w:ascii="Garamond" w:hAnsi="Garamond" w:cs="Times New Roman"/>
          <w:i/>
          <w:iCs/>
          <w:noProof/>
          <w:sz w:val="24"/>
          <w:szCs w:val="24"/>
        </w:rPr>
        <w:t>Journal of Economic Cooperation and Development</w:t>
      </w:r>
      <w:r w:rsidRPr="00DD79E1">
        <w:rPr>
          <w:rFonts w:ascii="Garamond" w:hAnsi="Garamond" w:cs="Times New Roman"/>
          <w:noProof/>
          <w:sz w:val="24"/>
          <w:szCs w:val="24"/>
        </w:rPr>
        <w:t>, 38.4 (2017), 155–79</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Hery Suliyanto, </w:t>
      </w:r>
      <w:r w:rsidRPr="00DD79E1">
        <w:rPr>
          <w:rFonts w:ascii="Garamond" w:hAnsi="Garamond" w:cs="Times New Roman"/>
          <w:i/>
          <w:iCs/>
          <w:noProof/>
          <w:sz w:val="24"/>
          <w:szCs w:val="24"/>
        </w:rPr>
        <w:t>Wawancara</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IKAPI, Anggota, </w:t>
      </w:r>
      <w:r w:rsidRPr="00DD79E1">
        <w:rPr>
          <w:rFonts w:ascii="Garamond" w:hAnsi="Garamond" w:cs="Times New Roman"/>
          <w:i/>
          <w:iCs/>
          <w:noProof/>
          <w:sz w:val="24"/>
          <w:szCs w:val="24"/>
        </w:rPr>
        <w:t>Undang-Undang Pengelolaan Zakat Dan Wakaf</w:t>
      </w:r>
      <w:r w:rsidRPr="00DD79E1">
        <w:rPr>
          <w:rFonts w:ascii="Garamond" w:hAnsi="Garamond" w:cs="Times New Roman"/>
          <w:noProof/>
          <w:sz w:val="24"/>
          <w:szCs w:val="24"/>
        </w:rPr>
        <w:t xml:space="preserve"> (Bandung: Fokusmedia, 2012)</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Kencana, Ulya, ‘Peralihan Status Harta Benda Wakaf Dalam Perspektif Hukum Pada Masyarakat Sumatera Selatan’, </w:t>
      </w:r>
      <w:r w:rsidRPr="00DD79E1">
        <w:rPr>
          <w:rFonts w:ascii="Garamond" w:hAnsi="Garamond" w:cs="Times New Roman"/>
          <w:i/>
          <w:iCs/>
          <w:noProof/>
          <w:sz w:val="24"/>
          <w:szCs w:val="24"/>
        </w:rPr>
        <w:t>Jurnal Al-Awqaf</w:t>
      </w:r>
      <w:r w:rsidRPr="00DD79E1">
        <w:rPr>
          <w:rFonts w:ascii="Garamond" w:hAnsi="Garamond" w:cs="Times New Roman"/>
          <w:noProof/>
          <w:sz w:val="24"/>
          <w:szCs w:val="24"/>
        </w:rPr>
        <w:t>, 11.Nomor 1 (2018), 1 &lt;https://www.jurnal.bwi.go.id/index.php/awqaf/article/view/25&gt;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Khairuddin, ‘Pergeseran Paradigma Pengaturan Wakaf Dalam Perspektif Hukum Progresif’ (Jurnal Al-Adalah Fakultas Syariah U.I.N.Raden Intan Lampung, 2014) &lt;http://ejournal.radenintan.ac.id/index.php/adalah/article/view/180/420&gt;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Koentjaraningrat, ‘Metodologi Peneitian Masyarakat’ (Jakarta: Gramedia, 2009), p. 46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Mardalis, ‘Metode Penelitian Suatu Pendekatan Proposal’ (Jakarta: Bumi Aksara, 2004), p. 64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Muhammad bin Ali bin Muhammad al-Shawkān, </w:t>
      </w:r>
      <w:r w:rsidRPr="00DD79E1">
        <w:rPr>
          <w:rFonts w:ascii="Garamond" w:hAnsi="Garamond" w:cs="Times New Roman"/>
          <w:i/>
          <w:iCs/>
          <w:noProof/>
          <w:sz w:val="24"/>
          <w:szCs w:val="24"/>
        </w:rPr>
        <w:t>Nayl Al-Aw</w:t>
      </w:r>
      <w:r w:rsidRPr="00DD79E1">
        <w:rPr>
          <w:rFonts w:ascii="Times New Roman" w:hAnsi="Times New Roman" w:cs="Times New Roman"/>
          <w:i/>
          <w:iCs/>
          <w:noProof/>
          <w:sz w:val="24"/>
          <w:szCs w:val="24"/>
        </w:rPr>
        <w:t>ṭ</w:t>
      </w:r>
      <w:r w:rsidRPr="00DD79E1">
        <w:rPr>
          <w:rFonts w:ascii="Garamond" w:hAnsi="Garamond" w:cs="Times New Roman"/>
          <w:i/>
          <w:iCs/>
          <w:noProof/>
          <w:sz w:val="24"/>
          <w:szCs w:val="24"/>
        </w:rPr>
        <w:t>ār</w:t>
      </w:r>
      <w:r w:rsidRPr="00DD79E1">
        <w:rPr>
          <w:rFonts w:ascii="Garamond" w:hAnsi="Garamond" w:cs="Times New Roman"/>
          <w:noProof/>
          <w:sz w:val="24"/>
          <w:szCs w:val="24"/>
        </w:rPr>
        <w:t xml:space="preserve">, </w:t>
      </w:r>
      <w:r w:rsidRPr="00DD79E1">
        <w:rPr>
          <w:rFonts w:ascii="Garamond" w:hAnsi="Garamond" w:cs="Times New Roman"/>
          <w:i/>
          <w:iCs/>
          <w:noProof/>
          <w:sz w:val="24"/>
          <w:szCs w:val="24"/>
        </w:rPr>
        <w:t>Jilid</w:t>
      </w:r>
      <w:r w:rsidRPr="00DD79E1">
        <w:rPr>
          <w:rFonts w:ascii="Garamond" w:hAnsi="Garamond" w:cs="Times New Roman"/>
          <w:noProof/>
          <w:sz w:val="24"/>
          <w:szCs w:val="24"/>
        </w:rPr>
        <w:t xml:space="preserve">, </w:t>
      </w:r>
      <w:r w:rsidRPr="00DD79E1">
        <w:rPr>
          <w:rFonts w:ascii="Garamond" w:hAnsi="Garamond" w:cs="Times New Roman"/>
          <w:smallCaps/>
          <w:noProof/>
          <w:sz w:val="24"/>
          <w:szCs w:val="24"/>
        </w:rPr>
        <w:t>IV</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Muntaqo, Firman, ‘Problematika Dan Prospek Wakaf Produktif Di Indonesia”’, </w:t>
      </w:r>
      <w:r w:rsidRPr="00DD79E1">
        <w:rPr>
          <w:rFonts w:ascii="Garamond" w:hAnsi="Garamond" w:cs="Times New Roman"/>
          <w:i/>
          <w:iCs/>
          <w:noProof/>
          <w:sz w:val="24"/>
          <w:szCs w:val="24"/>
        </w:rPr>
        <w:t>Jurnal Al Ahkam Edisi No</w:t>
      </w:r>
      <w:r w:rsidRPr="00DD79E1">
        <w:rPr>
          <w:rFonts w:ascii="Garamond" w:hAnsi="Garamond" w:cs="Times New Roman"/>
          <w:noProof/>
          <w:sz w:val="24"/>
          <w:szCs w:val="24"/>
        </w:rPr>
        <w:t>, 1, Vol. 25 (2015)</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sz w:val="24"/>
          <w:szCs w:val="24"/>
        </w:rPr>
      </w:pPr>
      <w:r w:rsidRPr="00DD79E1">
        <w:rPr>
          <w:rFonts w:ascii="Garamond" w:hAnsi="Garamond" w:cs="Times New Roman"/>
          <w:sz w:val="24"/>
          <w:szCs w:val="24"/>
        </w:rPr>
        <w:t xml:space="preserve">Mu’in, Fathul, Faisal Faisal, Arif Fikri, Habib Shulton Asnawi, and M Anwar Nawawi, ‘THE PRACTICE OF SUBSTITUTE HEIRS IN INDONESIAN RELIGIOUS COURT: Restricted Interpretation’, </w:t>
      </w:r>
      <w:r w:rsidRPr="00DD79E1">
        <w:rPr>
          <w:rFonts w:ascii="Garamond" w:hAnsi="Garamond" w:cs="Times New Roman"/>
          <w:i/>
          <w:iCs/>
          <w:sz w:val="24"/>
          <w:szCs w:val="24"/>
        </w:rPr>
        <w:t>Al-Ahwal: Jurnal Hukum Keluarga Islam</w:t>
      </w:r>
      <w:r w:rsidRPr="00DD79E1">
        <w:rPr>
          <w:rFonts w:ascii="Garamond" w:hAnsi="Garamond" w:cs="Times New Roman"/>
          <w:sz w:val="24"/>
          <w:szCs w:val="24"/>
        </w:rPr>
        <w:t>, 16.1 (2023), 141 &lt;https://doi.org/10.14421/ahwal.2023.16107&gt;</w:t>
      </w:r>
    </w:p>
    <w:p w:rsidR="00316CEF" w:rsidRPr="00DD79E1" w:rsidRDefault="00316CEF" w:rsidP="00316CEF">
      <w:pPr>
        <w:widowControl w:val="0"/>
        <w:autoSpaceDE w:val="0"/>
        <w:autoSpaceDN w:val="0"/>
        <w:adjustRightInd w:val="0"/>
        <w:spacing w:line="240" w:lineRule="auto"/>
        <w:ind w:left="480" w:hanging="480"/>
        <w:rPr>
          <w:rFonts w:ascii="Garamond" w:hAnsi="Garamond" w:cs="Times New Roman"/>
          <w:sz w:val="24"/>
          <w:szCs w:val="24"/>
        </w:rPr>
      </w:pPr>
      <w:r w:rsidRPr="00DD79E1">
        <w:rPr>
          <w:rFonts w:ascii="Garamond" w:hAnsi="Garamond" w:cs="Times New Roman"/>
          <w:sz w:val="24"/>
          <w:szCs w:val="24"/>
        </w:rPr>
        <w:t xml:space="preserve">Nur, Efa Rodiah, Fathul Mu’in, and Hamsidar Hamsidar, ‘The Reconstruction of The Livelihood Concept from A Mubādalah Perspective in Lampung Province’, </w:t>
      </w:r>
      <w:r w:rsidRPr="00DD79E1">
        <w:rPr>
          <w:rFonts w:ascii="Garamond" w:hAnsi="Garamond" w:cs="Times New Roman"/>
          <w:i/>
          <w:iCs/>
          <w:sz w:val="24"/>
          <w:szCs w:val="24"/>
        </w:rPr>
        <w:t>Samarah: Jurnal Hukum Keluarga Dan Hukum Islam</w:t>
      </w:r>
      <w:r w:rsidRPr="00DD79E1">
        <w:rPr>
          <w:rFonts w:ascii="Garamond" w:hAnsi="Garamond" w:cs="Times New Roman"/>
          <w:sz w:val="24"/>
          <w:szCs w:val="24"/>
        </w:rPr>
        <w:t>, 7.3 (2023), 1897 &lt;https://doi.org/10.22373/sjhk.v7i3.17613&gt;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lastRenderedPageBreak/>
        <w:t xml:space="preserve">Purnomo.A &amp;, and Khakim.L, ‘Implementasi Wakaf Produktif Dalam Perspektif Ekonomi Syariah’, </w:t>
      </w:r>
      <w:r w:rsidRPr="00DD79E1">
        <w:rPr>
          <w:rFonts w:ascii="Garamond" w:hAnsi="Garamond" w:cs="Times New Roman"/>
          <w:i/>
          <w:iCs/>
          <w:noProof/>
          <w:sz w:val="24"/>
          <w:szCs w:val="24"/>
        </w:rPr>
        <w:t>NUANSA: Jurnal Penelitian Ilmu Sosial Dan Keagamaan Islam</w:t>
      </w:r>
      <w:r w:rsidRPr="00DD79E1">
        <w:rPr>
          <w:rFonts w:ascii="Garamond" w:hAnsi="Garamond" w:cs="Times New Roman"/>
          <w:noProof/>
          <w:sz w:val="24"/>
          <w:szCs w:val="24"/>
        </w:rPr>
        <w:t>, 16.1 (2019), 103–111</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Qahaf.M, </w:t>
      </w:r>
      <w:r w:rsidRPr="00DD79E1">
        <w:rPr>
          <w:rFonts w:ascii="Garamond" w:hAnsi="Garamond" w:cs="Times New Roman"/>
          <w:i/>
          <w:iCs/>
          <w:noProof/>
          <w:sz w:val="24"/>
          <w:szCs w:val="24"/>
        </w:rPr>
        <w:t>Manajemen Wakaf Produktif</w:t>
      </w:r>
      <w:r w:rsidRPr="00DD79E1">
        <w:rPr>
          <w:rFonts w:ascii="Garamond" w:hAnsi="Garamond" w:cs="Times New Roman"/>
          <w:noProof/>
          <w:sz w:val="24"/>
          <w:szCs w:val="24"/>
        </w:rPr>
        <w:t xml:space="preserve"> (Jakarta: Khalifa, 2004)</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Qahaf, Mundzir, ‘Manajemen Wakaf Produktif’, in </w:t>
      </w:r>
      <w:r w:rsidRPr="00DD79E1">
        <w:rPr>
          <w:rFonts w:ascii="Garamond" w:hAnsi="Garamond" w:cs="Times New Roman"/>
          <w:i/>
          <w:iCs/>
          <w:noProof/>
          <w:sz w:val="24"/>
          <w:szCs w:val="24"/>
        </w:rPr>
        <w:t>Terj.H. Muhyiddin Mas Rida</w:t>
      </w:r>
      <w:r w:rsidRPr="00DD79E1">
        <w:rPr>
          <w:rFonts w:ascii="Garamond" w:hAnsi="Garamond" w:cs="Times New Roman"/>
          <w:noProof/>
          <w:sz w:val="24"/>
          <w:szCs w:val="24"/>
        </w:rPr>
        <w:t xml:space="preserve"> (Jakarta: Khalifa, 2005), p. 89</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Rahman, Ghazali Abdul, </w:t>
      </w:r>
      <w:r w:rsidRPr="00DD79E1">
        <w:rPr>
          <w:rFonts w:ascii="Garamond" w:hAnsi="Garamond" w:cs="Times New Roman"/>
          <w:i/>
          <w:iCs/>
          <w:noProof/>
          <w:sz w:val="24"/>
          <w:szCs w:val="24"/>
        </w:rPr>
        <w:t>Fiqih Muamalat</w:t>
      </w:r>
      <w:r w:rsidRPr="00DD79E1">
        <w:rPr>
          <w:rFonts w:ascii="Garamond" w:hAnsi="Garamond" w:cs="Times New Roman"/>
          <w:noProof/>
          <w:sz w:val="24"/>
          <w:szCs w:val="24"/>
        </w:rPr>
        <w:t xml:space="preserve"> (Jakarta: Kencana Prenada media group, 2010)</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RI, Departemen Agama, </w:t>
      </w:r>
      <w:r w:rsidRPr="00DD79E1">
        <w:rPr>
          <w:rFonts w:ascii="Garamond" w:hAnsi="Garamond" w:cs="Times New Roman"/>
          <w:i/>
          <w:iCs/>
          <w:noProof/>
          <w:sz w:val="24"/>
          <w:szCs w:val="24"/>
        </w:rPr>
        <w:t>Fiqih Wakaf</w:t>
      </w:r>
      <w:r w:rsidRPr="00DD79E1">
        <w:rPr>
          <w:rFonts w:ascii="Garamond" w:hAnsi="Garamond" w:cs="Times New Roman"/>
          <w:noProof/>
          <w:sz w:val="24"/>
          <w:szCs w:val="24"/>
        </w:rPr>
        <w:t xml:space="preserve"> (Jakarta: Direktorat Pemberdayaan Wakaf, 2007)</w:t>
      </w:r>
    </w:p>
    <w:p w:rsidR="00316CEF" w:rsidRPr="00DD79E1" w:rsidRDefault="00316CEF" w:rsidP="00316CEF">
      <w:pPr>
        <w:spacing w:line="240" w:lineRule="auto"/>
        <w:ind w:left="709" w:hanging="709"/>
        <w:rPr>
          <w:rFonts w:ascii="Garamond" w:hAnsi="Garamond" w:cs="Times New Roman"/>
          <w:noProof/>
          <w:sz w:val="24"/>
          <w:szCs w:val="24"/>
        </w:rPr>
      </w:pPr>
      <w:r w:rsidRPr="00DD79E1">
        <w:rPr>
          <w:rFonts w:ascii="Garamond" w:hAnsi="Garamond" w:cstheme="majorBidi"/>
          <w:sz w:val="24"/>
          <w:szCs w:val="24"/>
        </w:rPr>
        <w:fldChar w:fldCharType="begin"/>
      </w:r>
      <w:r w:rsidRPr="00DD79E1">
        <w:rPr>
          <w:rFonts w:ascii="Garamond" w:hAnsi="Garamond" w:cstheme="majorBidi"/>
          <w:sz w:val="24"/>
          <w:szCs w:val="24"/>
        </w:rPr>
        <w:instrText xml:space="preserve"> ADDIN ZOTERO_ITEM CSL_CITATION {"citationID":"aanu6hm11g","properties":{"formattedCitation":"\\uldash{Rudi Santoso, Fathul Mu\\uc0\\u8217{}in, dan Arif Fikri, \\uc0\\u8220{}Optimalisasi Tugas dan Fungsi DPRD dalam Mewujudkan Pemerintahan Bersih,\\uc0\\u8221{} {\\i{}As-Siyasi: Journal of Constitutional Law} 1, no. 1 (2021): 100\\uc0\\u8211{}117.}","plainCitation":"Rudi Santoso, Fathul Mu’in, dan Arif Fikri, “Optimalisasi Tugas dan Fungsi DPRD dalam Mewujudkan Pemerintahan Bersih,” As-Siyasi: Journal of Constitutional Law 1, no. 1 (2021): 100–117.","dontUpdate":true,"noteIndex":68},"citationItems":[{"id":191,"uris":["http://zotero.org/users/local/BN5bdLdL/items/WRPG2UHE"],"itemData":{"id":191,"type":"article-journal","container-title":"As-Siyasi: Journal of Constitutional Law","issue":"1","page":"100–117","source":"Google Scholar","title":"Optimalisasi Tugas dan Fungsi DPRD dalam Mewujudkan Pemerintahan Bersih","volume":"1","author":[{"family":"Santoso","given":"Rudi"},{"family":"Mu'in","given":"Fathul"},{"family":"Fikri","given":"Arif"}],"issued":{"date-parts":[["2021"]]}}}],"schema":"https://github.com/citation-style-language/schema/raw/master/csl-citation.json"} </w:instrText>
      </w:r>
      <w:r w:rsidRPr="00DD79E1">
        <w:rPr>
          <w:rFonts w:ascii="Garamond" w:hAnsi="Garamond" w:cstheme="majorBidi"/>
          <w:sz w:val="24"/>
          <w:szCs w:val="24"/>
        </w:rPr>
        <w:fldChar w:fldCharType="separate"/>
      </w:r>
      <w:r w:rsidRPr="00DD79E1">
        <w:rPr>
          <w:rFonts w:ascii="Garamond" w:hAnsi="Garamond" w:cstheme="majorBidi"/>
          <w:sz w:val="24"/>
          <w:szCs w:val="24"/>
        </w:rPr>
        <w:t xml:space="preserve">Rudi Santoso, Fathul Mu’in, dan Arif Fikri, “Optimalisasi Tugas dan Fungsi DPRD dalam Mewujudkan Pemerintahan Bersih,” </w:t>
      </w:r>
      <w:r w:rsidRPr="00DD79E1">
        <w:rPr>
          <w:rFonts w:ascii="Garamond" w:hAnsi="Garamond" w:cstheme="majorBidi"/>
          <w:i/>
          <w:iCs/>
          <w:sz w:val="24"/>
          <w:szCs w:val="24"/>
        </w:rPr>
        <w:t>As-Siyasi: Journal of Constitutional Law</w:t>
      </w:r>
      <w:r w:rsidRPr="00DD79E1">
        <w:rPr>
          <w:rFonts w:ascii="Garamond" w:hAnsi="Garamond" w:cstheme="majorBidi"/>
          <w:i/>
          <w:iCs/>
          <w:sz w:val="24"/>
          <w:szCs w:val="24"/>
          <w:lang w:val="id-ID"/>
        </w:rPr>
        <w:t xml:space="preserve">, </w:t>
      </w:r>
      <w:r w:rsidRPr="00DD79E1">
        <w:rPr>
          <w:rFonts w:ascii="Garamond" w:hAnsi="Garamond" w:cstheme="majorBidi"/>
          <w:sz w:val="24"/>
          <w:szCs w:val="24"/>
          <w:lang w:val="id-ID"/>
        </w:rPr>
        <w:t>Volume</w:t>
      </w:r>
      <w:r w:rsidRPr="00DD79E1">
        <w:rPr>
          <w:rFonts w:ascii="Garamond" w:hAnsi="Garamond" w:cstheme="majorBidi"/>
          <w:sz w:val="24"/>
          <w:szCs w:val="24"/>
        </w:rPr>
        <w:t xml:space="preserve"> 1 </w:t>
      </w:r>
      <w:r w:rsidRPr="00DD79E1">
        <w:rPr>
          <w:rFonts w:ascii="Garamond" w:hAnsi="Garamond" w:cstheme="majorBidi"/>
          <w:sz w:val="24"/>
          <w:szCs w:val="24"/>
          <w:lang w:val="id-ID"/>
        </w:rPr>
        <w:t>N</w:t>
      </w:r>
      <w:r w:rsidRPr="00DD79E1">
        <w:rPr>
          <w:rFonts w:ascii="Garamond" w:hAnsi="Garamond" w:cstheme="majorBidi"/>
          <w:sz w:val="24"/>
          <w:szCs w:val="24"/>
        </w:rPr>
        <w:t>o</w:t>
      </w:r>
      <w:r w:rsidRPr="00DD79E1">
        <w:rPr>
          <w:rFonts w:ascii="Garamond" w:hAnsi="Garamond" w:cstheme="majorBidi"/>
          <w:sz w:val="24"/>
          <w:szCs w:val="24"/>
          <w:lang w:val="id-ID"/>
        </w:rPr>
        <w:t>mor</w:t>
      </w:r>
      <w:r w:rsidRPr="00DD79E1">
        <w:rPr>
          <w:rFonts w:ascii="Garamond" w:hAnsi="Garamond" w:cstheme="majorBidi"/>
          <w:sz w:val="24"/>
          <w:szCs w:val="24"/>
        </w:rPr>
        <w:t xml:space="preserve"> 1 (</w:t>
      </w:r>
      <w:r w:rsidRPr="00DD79E1">
        <w:rPr>
          <w:rFonts w:ascii="Garamond" w:hAnsi="Garamond" w:cstheme="majorBidi"/>
          <w:sz w:val="24"/>
          <w:szCs w:val="24"/>
          <w:lang w:val="id-ID"/>
        </w:rPr>
        <w:t xml:space="preserve"> Mei </w:t>
      </w:r>
      <w:r w:rsidRPr="00DD79E1">
        <w:rPr>
          <w:rFonts w:ascii="Garamond" w:hAnsi="Garamond" w:cstheme="majorBidi"/>
          <w:sz w:val="24"/>
          <w:szCs w:val="24"/>
        </w:rPr>
        <w:t>202</w:t>
      </w:r>
      <w:r w:rsidRPr="00DD79E1">
        <w:rPr>
          <w:rFonts w:ascii="Garamond" w:hAnsi="Garamond" w:cstheme="majorBidi"/>
          <w:sz w:val="24"/>
          <w:szCs w:val="24"/>
          <w:lang w:val="id-ID"/>
        </w:rPr>
        <w:t>1): 1</w:t>
      </w:r>
      <w:r w:rsidRPr="00DD79E1">
        <w:rPr>
          <w:rFonts w:ascii="Garamond" w:hAnsi="Garamond" w:cstheme="majorBidi"/>
          <w:sz w:val="24"/>
          <w:szCs w:val="24"/>
        </w:rPr>
        <w:t>00–117</w:t>
      </w:r>
      <w:r w:rsidRPr="00DD79E1">
        <w:rPr>
          <w:rFonts w:ascii="Garamond" w:hAnsi="Garamond" w:cstheme="majorBidi"/>
          <w:sz w:val="24"/>
          <w:szCs w:val="24"/>
          <w:lang w:val="id-ID"/>
        </w:rPr>
        <w:t>,</w:t>
      </w:r>
      <w:r w:rsidRPr="00DD79E1">
        <w:rPr>
          <w:rFonts w:ascii="Garamond" w:hAnsi="Garamond" w:cstheme="majorBidi"/>
          <w:sz w:val="24"/>
          <w:szCs w:val="24"/>
        </w:rPr>
        <w:t xml:space="preserve"> </w:t>
      </w:r>
      <w:hyperlink r:id="rId10" w:history="1">
        <w:r w:rsidRPr="00DD79E1">
          <w:rPr>
            <w:rStyle w:val="Hyperlink"/>
            <w:rFonts w:ascii="Garamond" w:eastAsiaTheme="majorEastAsia" w:hAnsi="Garamond" w:cstheme="majorBidi"/>
            <w:color w:val="auto"/>
            <w:sz w:val="24"/>
            <w:szCs w:val="24"/>
            <w:shd w:val="clear" w:color="auto" w:fill="FFFFFF"/>
          </w:rPr>
          <w:t>https://doi.org/10.24042/as-siyasi.v1i1.8960</w:t>
        </w:r>
      </w:hyperlink>
      <w:r w:rsidRPr="00DD79E1">
        <w:rPr>
          <w:rFonts w:ascii="Garamond" w:hAnsi="Garamond" w:cstheme="majorBidi"/>
          <w:sz w:val="24"/>
          <w:szCs w:val="24"/>
        </w:rPr>
        <w:t>.</w:t>
      </w:r>
      <w:r w:rsidRPr="00DD79E1">
        <w:rPr>
          <w:rFonts w:ascii="Garamond" w:hAnsi="Garamond" w:cstheme="majorBidi"/>
          <w:sz w:val="24"/>
          <w:szCs w:val="24"/>
        </w:rPr>
        <w:fldChar w:fldCharType="end"/>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Rozalinda, </w:t>
      </w:r>
      <w:r w:rsidRPr="00DD79E1">
        <w:rPr>
          <w:rFonts w:ascii="Garamond" w:hAnsi="Garamond" w:cs="Times New Roman"/>
          <w:i/>
          <w:iCs/>
          <w:noProof/>
          <w:sz w:val="24"/>
          <w:szCs w:val="24"/>
        </w:rPr>
        <w:t>Manajemen Wakaf Produktif</w:t>
      </w:r>
      <w:r w:rsidRPr="00DD79E1">
        <w:rPr>
          <w:rFonts w:ascii="Garamond" w:hAnsi="Garamond" w:cs="Times New Roman"/>
          <w:noProof/>
          <w:sz w:val="24"/>
          <w:szCs w:val="24"/>
        </w:rPr>
        <w:t xml:space="preserve"> (Jakarta: Rajawali Press, 2015)</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Siregar, Ibrahim, </w:t>
      </w:r>
      <w:r w:rsidRPr="00DD79E1">
        <w:rPr>
          <w:rFonts w:ascii="Garamond" w:hAnsi="Garamond" w:cs="Times New Roman"/>
          <w:i/>
          <w:iCs/>
          <w:noProof/>
          <w:sz w:val="24"/>
          <w:szCs w:val="24"/>
        </w:rPr>
        <w:t>Pembaruan Hukum Perwakafan Di Indonesia</w:t>
      </w:r>
      <w:r w:rsidRPr="00DD79E1">
        <w:rPr>
          <w:rFonts w:ascii="Garamond" w:hAnsi="Garamond" w:cs="Times New Roman"/>
          <w:noProof/>
          <w:sz w:val="24"/>
          <w:szCs w:val="24"/>
        </w:rPr>
        <w:t xml:space="preserve">, </w:t>
      </w:r>
      <w:r w:rsidRPr="00DD79E1">
        <w:rPr>
          <w:rFonts w:ascii="Garamond" w:hAnsi="Garamond" w:cs="Times New Roman"/>
          <w:i/>
          <w:iCs/>
          <w:noProof/>
          <w:sz w:val="24"/>
          <w:szCs w:val="24"/>
        </w:rPr>
        <w:t>Tsaqafah</w:t>
      </w:r>
      <w:r w:rsidRPr="00DD79E1">
        <w:rPr>
          <w:rFonts w:ascii="Garamond" w:hAnsi="Garamond" w:cs="Times New Roman"/>
          <w:noProof/>
          <w:sz w:val="24"/>
          <w:szCs w:val="24"/>
        </w:rPr>
        <w:t xml:space="preserve"> (Jakarta: Darul Ulum Press, 2012), </w:t>
      </w:r>
      <w:r w:rsidRPr="00DD79E1">
        <w:rPr>
          <w:rFonts w:ascii="Garamond" w:hAnsi="Garamond" w:cs="Times New Roman"/>
          <w:smallCaps/>
          <w:noProof/>
          <w:sz w:val="24"/>
          <w:szCs w:val="24"/>
        </w:rPr>
        <w:t>viii</w:t>
      </w:r>
      <w:r w:rsidRPr="00DD79E1">
        <w:rPr>
          <w:rFonts w:ascii="Garamond" w:hAnsi="Garamond" w:cs="Times New Roman"/>
          <w:noProof/>
          <w:sz w:val="24"/>
          <w:szCs w:val="24"/>
        </w:rPr>
        <w:t xml:space="preserve"> &lt;https://doi.org/10.21111/tsaqafah.v8i2.25&gt;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Suharsimi Arikunto, </w:t>
      </w:r>
      <w:r w:rsidRPr="00DD79E1">
        <w:rPr>
          <w:rFonts w:ascii="Garamond" w:hAnsi="Garamond" w:cs="Times New Roman"/>
          <w:i/>
          <w:iCs/>
          <w:noProof/>
          <w:sz w:val="24"/>
          <w:szCs w:val="24"/>
        </w:rPr>
        <w:t>Prosedur Penelitian Suatu Pendekatan Praktik</w:t>
      </w:r>
      <w:r w:rsidRPr="00DD79E1">
        <w:rPr>
          <w:rFonts w:ascii="Garamond" w:hAnsi="Garamond" w:cs="Times New Roman"/>
          <w:noProof/>
          <w:sz w:val="24"/>
          <w:szCs w:val="24"/>
        </w:rPr>
        <w:t xml:space="preserve"> (Jakarta: Rineka Cipta, 2006)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Suparaman, Usman, </w:t>
      </w:r>
      <w:r w:rsidRPr="00DD79E1">
        <w:rPr>
          <w:rFonts w:ascii="Garamond" w:hAnsi="Garamond" w:cs="Times New Roman"/>
          <w:i/>
          <w:iCs/>
          <w:noProof/>
          <w:sz w:val="24"/>
          <w:szCs w:val="24"/>
        </w:rPr>
        <w:t>Hukum Perwakafan Di Indonesia</w:t>
      </w:r>
      <w:r w:rsidRPr="00DD79E1">
        <w:rPr>
          <w:rFonts w:ascii="Garamond" w:hAnsi="Garamond" w:cs="Times New Roman"/>
          <w:noProof/>
          <w:sz w:val="24"/>
          <w:szCs w:val="24"/>
        </w:rPr>
        <w:t xml:space="preserve"> (Jakarta: Darul Ulum Press, 1993)</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Suryani, Suryani, and Yunal Isra, ‘Wakaf Produktif (Cash Waqf) Dalam Perspektif Hukum Islam Dan Maqā</w:t>
      </w:r>
      <w:r w:rsidRPr="00DD79E1">
        <w:rPr>
          <w:rFonts w:ascii="Times New Roman" w:hAnsi="Times New Roman" w:cs="Times New Roman"/>
          <w:noProof/>
          <w:sz w:val="24"/>
          <w:szCs w:val="24"/>
        </w:rPr>
        <w:t>ṣ</w:t>
      </w:r>
      <w:r w:rsidRPr="00DD79E1">
        <w:rPr>
          <w:rFonts w:ascii="Garamond" w:hAnsi="Garamond" w:cs="Times New Roman"/>
          <w:noProof/>
          <w:sz w:val="24"/>
          <w:szCs w:val="24"/>
        </w:rPr>
        <w:t xml:space="preserve">id Al-Sharī‘Ah’, </w:t>
      </w:r>
      <w:r w:rsidRPr="00DD79E1">
        <w:rPr>
          <w:rFonts w:ascii="Garamond" w:hAnsi="Garamond" w:cs="Times New Roman"/>
          <w:i/>
          <w:iCs/>
          <w:noProof/>
          <w:sz w:val="24"/>
          <w:szCs w:val="24"/>
        </w:rPr>
        <w:t>Walisongo: Jurnal Penelitian Sosial Keagamaan</w:t>
      </w:r>
      <w:r w:rsidRPr="00DD79E1">
        <w:rPr>
          <w:rFonts w:ascii="Garamond" w:hAnsi="Garamond" w:cs="Times New Roman"/>
          <w:noProof/>
          <w:sz w:val="24"/>
          <w:szCs w:val="24"/>
        </w:rPr>
        <w:t>, 24.1 (2016), 17 &lt;https://doi.org/10.21580/ws.24.1.680&gt;</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Syaikh Muhammad bin Shalih al- ‘Utsaimin, </w:t>
      </w:r>
      <w:r w:rsidRPr="00DD79E1">
        <w:rPr>
          <w:rFonts w:ascii="Garamond" w:hAnsi="Garamond" w:cs="Times New Roman"/>
          <w:i/>
          <w:iCs/>
          <w:noProof/>
          <w:sz w:val="24"/>
          <w:szCs w:val="24"/>
        </w:rPr>
        <w:t>Panduan Wakaf, Hibah Dan Wasiat</w:t>
      </w:r>
      <w:r w:rsidRPr="00DD79E1">
        <w:rPr>
          <w:rFonts w:ascii="Garamond" w:hAnsi="Garamond" w:cs="Times New Roman"/>
          <w:noProof/>
          <w:sz w:val="24"/>
          <w:szCs w:val="24"/>
        </w:rPr>
        <w:t xml:space="preserve"> (Jakarta: Pustaka Imam Asy-syafi’i, 2008)</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Thobieb.D.A., </w:t>
      </w:r>
      <w:r w:rsidRPr="00DD79E1">
        <w:rPr>
          <w:rFonts w:ascii="Garamond" w:hAnsi="Garamond" w:cs="Times New Roman"/>
          <w:i/>
          <w:iCs/>
          <w:noProof/>
          <w:sz w:val="24"/>
          <w:szCs w:val="24"/>
        </w:rPr>
        <w:t>Menuju Era Wakaf Produktif</w:t>
      </w:r>
      <w:r w:rsidRPr="00DD79E1">
        <w:rPr>
          <w:rFonts w:ascii="Garamond" w:hAnsi="Garamond" w:cs="Times New Roman"/>
          <w:noProof/>
          <w:sz w:val="24"/>
          <w:szCs w:val="24"/>
        </w:rPr>
        <w:t xml:space="preserve"> (Depok: Mumtaz Publishing, 2017)</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Tuti A. Najib dan Ridwan al-Makassary, </w:t>
      </w:r>
      <w:r w:rsidRPr="00DD79E1">
        <w:rPr>
          <w:rFonts w:ascii="Garamond" w:hAnsi="Garamond" w:cs="Times New Roman"/>
          <w:i/>
          <w:iCs/>
          <w:noProof/>
          <w:sz w:val="24"/>
          <w:szCs w:val="24"/>
        </w:rPr>
        <w:t>Wakaf, Tuhan Dan Agenda Kemanusiaan; Studi Tentang Wakaf Dalam Perspektif KeadilanSosial Di Indonesia</w:t>
      </w:r>
      <w:r w:rsidRPr="00DD79E1">
        <w:rPr>
          <w:rFonts w:ascii="Garamond" w:hAnsi="Garamond" w:cs="Times New Roman"/>
          <w:noProof/>
          <w:sz w:val="24"/>
          <w:szCs w:val="24"/>
        </w:rPr>
        <w:t xml:space="preserve"> (Jakarta: CSRC-UIN Syarif Hidayatullah, 2006)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Wahbah Az-Zuhaili, </w:t>
      </w:r>
      <w:r w:rsidRPr="00DD79E1">
        <w:rPr>
          <w:rFonts w:ascii="Garamond" w:hAnsi="Garamond" w:cs="Times New Roman"/>
          <w:i/>
          <w:iCs/>
          <w:noProof/>
          <w:sz w:val="24"/>
          <w:szCs w:val="24"/>
        </w:rPr>
        <w:t>Al-Fiqhu Al-Islamiy Wa Adillatuhu</w:t>
      </w:r>
      <w:r w:rsidRPr="00DD79E1">
        <w:rPr>
          <w:rFonts w:ascii="Garamond" w:hAnsi="Garamond" w:cs="Times New Roman"/>
          <w:noProof/>
          <w:sz w:val="24"/>
          <w:szCs w:val="24"/>
        </w:rPr>
        <w:t xml:space="preserve"> (Dimsyiq: Dar al-Fikr, t.th) cet. 12, juz 10)</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Zaidah.Y, ‘Wakaf Tunai Sebagai Alternatif Pemberdayaan Ekonomi Ummat Islam Di Indonesia’, </w:t>
      </w:r>
      <w:r w:rsidRPr="00DD79E1">
        <w:rPr>
          <w:rFonts w:ascii="Garamond" w:hAnsi="Garamond" w:cs="Times New Roman"/>
          <w:i/>
          <w:iCs/>
          <w:noProof/>
          <w:sz w:val="24"/>
          <w:szCs w:val="24"/>
        </w:rPr>
        <w:t>ATTARADHI: Jurnal Studi Islam</w:t>
      </w:r>
      <w:r w:rsidRPr="00DD79E1">
        <w:rPr>
          <w:rFonts w:ascii="Garamond" w:hAnsi="Garamond" w:cs="Times New Roman"/>
          <w:noProof/>
          <w:sz w:val="24"/>
          <w:szCs w:val="24"/>
        </w:rPr>
        <w:t>, 3.2 (2012), 187–196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Zain, N R M, N F Mahadi, and A M Noor, ‘The Potential in Reviving Waqf through Crowdfunding Technology: The Case Study of Thailand’, 2019, p. 89–106</w:t>
      </w:r>
    </w:p>
    <w:p w:rsidR="00316CEF" w:rsidRPr="00DD79E1" w:rsidRDefault="00316CEF" w:rsidP="00316CEF">
      <w:pPr>
        <w:widowControl w:val="0"/>
        <w:autoSpaceDE w:val="0"/>
        <w:autoSpaceDN w:val="0"/>
        <w:adjustRightInd w:val="0"/>
        <w:spacing w:after="0" w:line="240" w:lineRule="auto"/>
        <w:ind w:left="480" w:hanging="480"/>
        <w:rPr>
          <w:rFonts w:ascii="Garamond" w:hAnsi="Garamond" w:cs="Times New Roman"/>
          <w:noProof/>
          <w:sz w:val="24"/>
          <w:szCs w:val="24"/>
        </w:rPr>
      </w:pPr>
      <w:r w:rsidRPr="00DD79E1">
        <w:rPr>
          <w:rFonts w:ascii="Garamond" w:hAnsi="Garamond" w:cs="Times New Roman"/>
          <w:noProof/>
          <w:sz w:val="24"/>
          <w:szCs w:val="24"/>
        </w:rPr>
        <w:t xml:space="preserve">Zainal, Veithzal Rivai, ‘Pengelolaan Dan Pengembangan Wakaf Produktif’’, </w:t>
      </w:r>
      <w:r w:rsidRPr="00DD79E1">
        <w:rPr>
          <w:rFonts w:ascii="Garamond" w:hAnsi="Garamond" w:cs="Times New Roman"/>
          <w:i/>
          <w:iCs/>
          <w:noProof/>
          <w:sz w:val="24"/>
          <w:szCs w:val="24"/>
        </w:rPr>
        <w:t>Al-Awqaf: Jurnal Wakaf Dan Ekonomi Islam</w:t>
      </w:r>
      <w:r w:rsidRPr="00DD79E1">
        <w:rPr>
          <w:rFonts w:ascii="Garamond" w:hAnsi="Garamond" w:cs="Times New Roman"/>
          <w:noProof/>
          <w:sz w:val="24"/>
          <w:szCs w:val="24"/>
        </w:rPr>
        <w:t>, 9.1 (2016), 2</w:t>
      </w:r>
    </w:p>
    <w:p w:rsidR="00316CEF" w:rsidRPr="00DD79E1" w:rsidRDefault="00316CEF" w:rsidP="00316CEF">
      <w:pPr>
        <w:pStyle w:val="FootnoteText"/>
        <w:jc w:val="both"/>
        <w:rPr>
          <w:rFonts w:ascii="Garamond" w:hAnsi="Garamond" w:cs="Times New Roman"/>
          <w:sz w:val="24"/>
          <w:szCs w:val="24"/>
        </w:rPr>
      </w:pPr>
      <w:r w:rsidRPr="00DD79E1">
        <w:rPr>
          <w:rFonts w:ascii="Garamond" w:hAnsi="Garamond" w:cs="Times New Roman"/>
          <w:sz w:val="24"/>
          <w:szCs w:val="24"/>
        </w:rPr>
        <w:fldChar w:fldCharType="end"/>
      </w:r>
    </w:p>
    <w:sectPr w:rsidR="00316CEF" w:rsidRPr="00DD79E1">
      <w:headerReference w:type="even" r:id="rId11"/>
      <w:headerReference w:type="default" r:id="rId12"/>
      <w:headerReference w:type="first" r:id="rId13"/>
      <w:footerReference w:type="first" r:id="rId14"/>
      <w:pgSz w:w="10319" w:h="14572"/>
      <w:pgMar w:top="1027" w:right="1418" w:bottom="1418" w:left="1418" w:header="720" w:footer="28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2B" w:rsidRDefault="00914E2B">
      <w:pPr>
        <w:spacing w:after="0" w:line="240" w:lineRule="auto"/>
      </w:pPr>
      <w:r>
        <w:separator/>
      </w:r>
    </w:p>
  </w:endnote>
  <w:endnote w:type="continuationSeparator" w:id="0">
    <w:p w:rsidR="00914E2B" w:rsidRDefault="0091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99" w:rsidRDefault="009847D7">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Copyright © xxxxxxx</w:t>
    </w:r>
  </w:p>
  <w:p w:rsidR="00215399" w:rsidRDefault="009847D7">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0"/>
        <w:szCs w:val="20"/>
      </w:rPr>
      <w:t>This work is licensed under a </w:t>
    </w:r>
    <w:hyperlink r:id="rId1">
      <w:r>
        <w:rPr>
          <w:rFonts w:ascii="Garamond" w:eastAsia="Garamond" w:hAnsi="Garamond" w:cs="Garamond"/>
          <w:color w:val="000000"/>
          <w:sz w:val="20"/>
          <w:szCs w:val="20"/>
        </w:rPr>
        <w:t>Creative Commons Attribution-NonCommercial-ShareAlike 4.0 International License</w:t>
      </w:r>
    </w:hyperlink>
    <w:r>
      <w:rPr>
        <w:rFonts w:ascii="Garamond" w:eastAsia="Garamond" w:hAnsi="Garamond" w:cs="Garamond"/>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2B" w:rsidRDefault="00914E2B">
      <w:pPr>
        <w:spacing w:after="0" w:line="240" w:lineRule="auto"/>
      </w:pPr>
      <w:r>
        <w:separator/>
      </w:r>
    </w:p>
  </w:footnote>
  <w:footnote w:type="continuationSeparator" w:id="0">
    <w:p w:rsidR="00914E2B" w:rsidRDefault="00914E2B">
      <w:pPr>
        <w:spacing w:after="0" w:line="240" w:lineRule="auto"/>
      </w:pPr>
      <w:r>
        <w:continuationSeparator/>
      </w:r>
    </w:p>
  </w:footnote>
  <w:footnote w:id="1">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{"citationItems":[{"id":"ITEM-1","itemData":{"author":[{"dropping-particle":"","family":"Thobieb.D.A.","given":"","non-dropping-particle":"","parse-names":false,"suffix":""}],"id":"ITEM-1","issued":{"date-parts":[["2017"]]},"number-of-pages":"21","publisher":"Mumtaz Publishing","publisher-place":"Depok","title":"Menuju Era Wakaf Produktif","type":"book"},"uris":["http://www.mendeley.com/documents/?uuid=6a4426b0-7a41-488c-97bf-2cc022c01979"]}],"mendeley":{"formattedCitation":"Thobieb.D.A., &lt;i&gt;Menuju Era Wakaf Produktif&lt;/i&gt; (Depok: Mumtaz Publishing, 2017).","plainTextFormattedCitation":"Thobieb.D.A., Menuju Era Wakaf Produktif (Depok: Mumtaz Publishing, 2017)."},"properties":{"noteIndex":1},"schema":"https://github.com/citation-style-language/schema/raw/master/csl-citation.json"}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Thobieb.D.A., </w:t>
      </w:r>
      <w:r w:rsidRPr="00F113C5">
        <w:rPr>
          <w:rFonts w:ascii="Garamond" w:hAnsi="Garamond" w:cs="Times New Roman"/>
          <w:i/>
          <w:noProof/>
        </w:rPr>
        <w:t>Menuju Era Wakaf Produktif</w:t>
      </w:r>
      <w:r w:rsidRPr="00F113C5">
        <w:rPr>
          <w:rFonts w:ascii="Garamond" w:hAnsi="Garamond" w:cs="Times New Roman"/>
          <w:noProof/>
        </w:rPr>
        <w:t xml:space="preserve"> (Depok: Mumtaz Publishing, 2017).</w:t>
      </w:r>
      <w:r w:rsidRPr="00F113C5">
        <w:rPr>
          <w:rFonts w:ascii="Garamond" w:hAnsi="Garamond" w:cs="Times New Roman"/>
        </w:rPr>
        <w:fldChar w:fldCharType="end"/>
      </w:r>
    </w:p>
  </w:footnote>
  <w:footnote w:id="2">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{"citationItems":[{"id":"ITEM-1","itemData":{"DOI":"10.21580/ws.24.1.680","ISSN":"0852-7172","abstract":"&lt;p&gt;Cash waqf is a breakthrough in appropriate with religious principles (maqā</w:instrText>
      </w:r>
      <w:r w:rsidRPr="00F113C5">
        <w:rPr>
          <w:rFonts w:ascii="Times New Roman" w:hAnsi="Times New Roman" w:cs="Times New Roman"/>
        </w:rPr>
        <w:instrText>ṣ</w:instrText>
      </w:r>
      <w:r w:rsidRPr="00F113C5">
        <w:rPr>
          <w:rFonts w:ascii="Garamond" w:hAnsi="Garamond" w:cs="Times New Roman"/>
        </w:rPr>
        <w:instrText>id al-sharī’ah) and social demands of humanity. This program can synergize with government programs in order to realize the welfare of the people of Indonesia as a manifestation of the ideals of the Republic of Indonesia, as stated in the preamble of the 1945 Constitution. Judging from the principle of religious, cash waqf has also been exemplified by several companions of Rasullullah and the scholars from time to time. Call it like what has been exemplified by the Caliph ‘Umar ibn al-Kha</w:instrText>
      </w:r>
      <w:r w:rsidRPr="00F113C5">
        <w:rPr>
          <w:rFonts w:ascii="Times New Roman" w:hAnsi="Times New Roman" w:cs="Times New Roman"/>
        </w:rPr>
        <w:instrText>ṭṭ</w:instrText>
      </w:r>
      <w:r w:rsidRPr="00F113C5">
        <w:rPr>
          <w:rFonts w:ascii="Garamond" w:hAnsi="Garamond" w:cs="Times New Roman"/>
        </w:rPr>
        <w:instrText>āb when making a land in Khaibar as productive land that used as much as possible for the benefit of Muslims. In addition, this program has also had supported by law. MUI Fatwa Commission also stipulates that the cash waqf is a movement in accordance with the principles of the religion that brought prosperity to the human in here and hereafter. This paper is literature research with reference to several primary and secondary sources such as books or books relevant to the study.&lt;/p&gt;&lt;p&gt;***&lt;/p&gt;&lt;p&gt;Wakaf uang merupakan gebrakan yang sesuai dengan prinsip agama (maqā</w:instrText>
      </w:r>
      <w:r w:rsidRPr="00F113C5">
        <w:rPr>
          <w:rFonts w:ascii="Times New Roman" w:hAnsi="Times New Roman" w:cs="Times New Roman"/>
        </w:rPr>
        <w:instrText>ṣ</w:instrText>
      </w:r>
      <w:r w:rsidRPr="00F113C5">
        <w:rPr>
          <w:rFonts w:ascii="Garamond" w:hAnsi="Garamond" w:cs="Times New Roman"/>
        </w:rPr>
        <w:instrText>id al-sharī’ah) dan tuntutan sosial kemanusian. Program ini bisa bersinergi dengan program-program pemerintah dalam mewujudkan kesejahteraan rakyat Indonesia sebagai manivestasi dari cita-cita besar Negara Indonesia yang tercantum dalam Pembukaan UUD 1945. Gerakan wakaf produktif dengan uang juga sudah dicontohkan oleh beberapa sahabat Rasul dan para ulama dari zaman ke zaman. Misalnya Khalifah ‘Umar ibn al-Khattāb ketika menjadikan tanah di Khaibar sebagai lahan produktif yang digunakan untuk kepentingan umat Islam. Program ini juga sudah didukung oleh hukum positif seperti Undang-Undang dan Peraturan Pemerintah tentang wakaf, Demikian pula Fatwa MUI juga menetapkan bahwa wakaf dengan menggunakan uang adalah gerakan yang sesuai dengan prinsip agama yaitu membawa kesejahteraan untuk manusia baik untuk dunia maupun akhirat mereka. Tulisan ini merupakan library research dengan merujuk beberapa sumber primer dan sekunder berupa buku atau kitab yang relevan dengan kajian.&lt;/p&gt;","author":[{"dropping-particle":"","family":"Suryani","given":"Suryani","non-dropping-particle":"","parse-names":false,"suffix":""},{"dropping-particle":"","family":"Isra","given":"Yunal","non-dropping-particle":"","parse-names":false,"suffix":""}],"container-title":"Walisongo: Jurnal Penelitian Sosial Keagamaan","id":"ITEM-1","issue":"1","issued":{"date-parts":[["2016"]]},"page":"17","title":"Wakaf Produktif (Cash Waqf) Dalam Perspektif Hukum Islam Dan Maqā</w:instrText>
      </w:r>
      <w:r w:rsidRPr="00F113C5">
        <w:rPr>
          <w:rFonts w:ascii="Times New Roman" w:hAnsi="Times New Roman" w:cs="Times New Roman"/>
        </w:rPr>
        <w:instrText>ṣ</w:instrText>
      </w:r>
      <w:r w:rsidRPr="00F113C5">
        <w:rPr>
          <w:rFonts w:ascii="Garamond" w:hAnsi="Garamond" w:cs="Times New Roman"/>
        </w:rPr>
        <w:instrText>id Al-Sharī‘Ah","type":"article-journal","volume":"24"},"uris":["http://www.mendeley.com/documents/?uuid=974a97d9-b843-4eae-95bc-6f100d314b2d"]}],"mendeley":{"formattedCitation":"Suryani Suryani and Yunal Isra, ‘Wakaf Produktif (Cash Waqf) Dalam Perspektif Hukum Islam Dan Maqā</w:instrText>
      </w:r>
      <w:r w:rsidRPr="00F113C5">
        <w:rPr>
          <w:rFonts w:ascii="Times New Roman" w:hAnsi="Times New Roman" w:cs="Times New Roman"/>
        </w:rPr>
        <w:instrText>ṣ</w:instrText>
      </w:r>
      <w:r w:rsidRPr="00F113C5">
        <w:rPr>
          <w:rFonts w:ascii="Garamond" w:hAnsi="Garamond" w:cs="Times New Roman"/>
        </w:rPr>
        <w:instrText>id Al-Sharī‘Ah’, &lt;i&gt;Walisongo: Jurnal Penelitian Sosial Keagamaan&lt;/i&gt;, 24.1 (2016), 17 &lt;https://doi.org/10.21580/ws.24.1.680&gt;.","plainTextFormattedCitation":"Suryani Suryani and Yunal Isra, ‘Wakaf Produktif (Cash Waqf) Dalam Perspektif Hukum Islam Dan Maqā</w:instrText>
      </w:r>
      <w:r w:rsidRPr="00F113C5">
        <w:rPr>
          <w:rFonts w:ascii="Times New Roman" w:hAnsi="Times New Roman" w:cs="Times New Roman"/>
        </w:rPr>
        <w:instrText>ṣ</w:instrText>
      </w:r>
      <w:r w:rsidRPr="00F113C5">
        <w:rPr>
          <w:rFonts w:ascii="Garamond" w:hAnsi="Garamond" w:cs="Times New Roman"/>
        </w:rPr>
        <w:instrText>id Al-Sharī‘Ah’, Walisongo: Jurnal Penelitian Sosial Keagamaan, 24.1 (2016), 17 .","previouslyFormattedCitation":"Suryani Suryani and Yunal Isra, ‘Wakaf Produktif (Cash Waqf) Dalam Perspektif Hukum Islam Dan Maqā</w:instrText>
      </w:r>
      <w:r w:rsidRPr="00F113C5">
        <w:rPr>
          <w:rFonts w:ascii="Times New Roman" w:hAnsi="Times New Roman" w:cs="Times New Roman"/>
        </w:rPr>
        <w:instrText>ṣ</w:instrText>
      </w:r>
      <w:r w:rsidRPr="00F113C5">
        <w:rPr>
          <w:rFonts w:ascii="Garamond" w:hAnsi="Garamond" w:cs="Times New Roman"/>
        </w:rPr>
        <w:instrText>id Al-Sharī‘Ah’, &lt;i&gt;Walisongo: Jurnal Penelitian Sosial Keagamaan&lt;/i&gt;, 24.1 (2016), 17 &lt;https://doi.org/10.21580/ws.24.1.680&gt;."},"properties":{"noteIndex":2},"schema":"https://github.com/citation-style-language/schema/raw/master/csl-citation.json"}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Suryani Suryani and Yunal Isra, ‘Wakaf Produktif (Cash Waqf) Dalam Perspektif Hukum Islam Dan Maqā</w:t>
      </w:r>
      <w:r w:rsidRPr="00F113C5">
        <w:rPr>
          <w:rFonts w:ascii="Times New Roman" w:hAnsi="Times New Roman" w:cs="Times New Roman"/>
          <w:noProof/>
        </w:rPr>
        <w:t>ṣ</w:t>
      </w:r>
      <w:r w:rsidRPr="00F113C5">
        <w:rPr>
          <w:rFonts w:ascii="Garamond" w:hAnsi="Garamond" w:cs="Times New Roman"/>
          <w:noProof/>
        </w:rPr>
        <w:t xml:space="preserve">id Al-Sharī‘Ah’, </w:t>
      </w:r>
      <w:r w:rsidRPr="00F113C5">
        <w:rPr>
          <w:rFonts w:ascii="Garamond" w:hAnsi="Garamond" w:cs="Times New Roman"/>
          <w:i/>
          <w:noProof/>
        </w:rPr>
        <w:t>Walisongo: Jurnal Penelitian Sosial Keagamaan</w:t>
      </w:r>
      <w:r w:rsidRPr="00F113C5">
        <w:rPr>
          <w:rFonts w:ascii="Garamond" w:hAnsi="Garamond" w:cs="Times New Roman"/>
          <w:noProof/>
        </w:rPr>
        <w:t>, 24.1 (2016), 17 &lt;https://doi.org/10.21580/ws.24.1.680&gt;.</w:t>
      </w:r>
      <w:r w:rsidRPr="00F113C5">
        <w:rPr>
          <w:rFonts w:ascii="Garamond" w:hAnsi="Garamond" w:cs="Times New Roman"/>
        </w:rPr>
        <w:fldChar w:fldCharType="end"/>
      </w:r>
    </w:p>
  </w:footnote>
  <w:footnote w:id="3">
    <w:p w:rsidR="00AF71DD" w:rsidRPr="00F113C5" w:rsidRDefault="00AF71DD" w:rsidP="00C2300E">
      <w:pPr>
        <w:pStyle w:val="FootnoteText"/>
        <w:ind w:firstLine="720"/>
        <w:jc w:val="both"/>
        <w:rPr>
          <w:rFonts w:ascii="Garamond" w:hAnsi="Garamond" w:cs="Times New Roman"/>
          <w:lang w:val="en-US"/>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lang w:val="en-US"/>
        </w:rPr>
        <w:t xml:space="preserve">Lihat Indeks Wakaf Nasional 2022 dalam </w:t>
      </w:r>
      <w:hyperlink r:id="rId1" w:history="1">
        <w:r w:rsidRPr="00F113C5">
          <w:rPr>
            <w:rStyle w:val="Hyperlink"/>
            <w:rFonts w:ascii="Garamond" w:hAnsi="Garamond" w:cs="Times New Roman"/>
            <w:color w:val="auto"/>
          </w:rPr>
          <w:t>Indeks Wakaf Nasional 2022 | Badan Wakaf Indonesia | BWI.go.id</w:t>
        </w:r>
      </w:hyperlink>
      <w:r w:rsidRPr="00F113C5">
        <w:rPr>
          <w:rFonts w:ascii="Garamond" w:hAnsi="Garamond" w:cs="Times New Roman"/>
          <w:lang w:val="en-US"/>
        </w:rPr>
        <w:t>, diakses 10 Oktober 2023</w:t>
      </w:r>
    </w:p>
  </w:footnote>
  <w:footnote w:id="4">
    <w:p w:rsidR="00AF71DD" w:rsidRPr="00F113C5" w:rsidRDefault="00AF71DD" w:rsidP="00C2300E">
      <w:pPr>
        <w:pStyle w:val="FootnoteText"/>
        <w:ind w:firstLine="720"/>
        <w:jc w:val="both"/>
        <w:rPr>
          <w:rFonts w:ascii="Garamond" w:hAnsi="Garamond" w:cstheme="majorBidi"/>
        </w:rPr>
      </w:pPr>
      <w:r w:rsidRPr="00F113C5">
        <w:rPr>
          <w:rStyle w:val="FootnoteReference"/>
          <w:rFonts w:ascii="Garamond" w:hAnsi="Garamond" w:cstheme="majorBidi"/>
        </w:rPr>
        <w:footnoteRef/>
      </w:r>
      <w:r w:rsidRPr="00F113C5">
        <w:rPr>
          <w:rFonts w:ascii="Garamond" w:hAnsi="Garamond" w:cstheme="majorBidi"/>
        </w:rPr>
        <w:t xml:space="preserve"> </w:t>
      </w:r>
      <w:r w:rsidRPr="00F113C5">
        <w:rPr>
          <w:rFonts w:ascii="Garamond" w:hAnsi="Garamond" w:cstheme="majorBidi"/>
        </w:rPr>
        <w:fldChar w:fldCharType="begin"/>
      </w:r>
      <w:r w:rsidRPr="00F113C5">
        <w:rPr>
          <w:rFonts w:ascii="Garamond" w:hAnsi="Garamond" w:cstheme="majorBidi"/>
        </w:rPr>
        <w:instrText xml:space="preserve"> ADDIN ZOTERO_ITEM CSL_CITATION {"citationID":"aanu6hm11g","properties":{"formattedCitation":"\\uldash{Rudi Santoso, Fathul Mu\\uc0\\u8217{}in, dan Arif Fikri, \\uc0\\u8220{}Optimalisasi Tugas dan Fungsi DPRD dalam Mewujudkan Pemerintahan Bersih,\\uc0\\u8221{} {\\i{}As-Siyasi: Journal of Constitutional Law} 1, no. 1 (2021): 100\\uc0\\u8211{}117.}","plainCitation":"Rudi Santoso, Fathul Mu’in, dan Arif Fikri, “Optimalisasi Tugas dan Fungsi DPRD dalam Mewujudkan Pemerintahan Bersih,” As-Siyasi: Journal of Constitutional Law 1, no. 1 (2021): 100–117.","dontUpdate":true,"noteIndex":68},"citationItems":[{"id":191,"uris":["http://zotero.org/users/local/BN5bdLdL/items/WRPG2UHE"],"itemData":{"id":191,"type":"article-journal","container-title":"As-Siyasi: Journal of Constitutional Law","issue":"1","page":"100–117","source":"Google Scholar","title":"Optimalisasi Tugas dan Fungsi DPRD dalam Mewujudkan Pemerintahan Bersih","volume":"1","author":[{"family":"Santoso","given":"Rudi"},{"family":"Mu'in","given":"Fathul"},{"family":"Fikri","given":"Arif"}],"issued":{"date-parts":[["2021"]]}}}],"schema":"https://github.com/citation-style-language/schema/raw/master/csl-citation.json"} </w:instrText>
      </w:r>
      <w:r w:rsidRPr="00F113C5">
        <w:rPr>
          <w:rFonts w:ascii="Garamond" w:hAnsi="Garamond" w:cstheme="majorBidi"/>
        </w:rPr>
        <w:fldChar w:fldCharType="separate"/>
      </w:r>
      <w:r w:rsidRPr="00F113C5">
        <w:rPr>
          <w:rFonts w:ascii="Garamond" w:hAnsi="Garamond" w:cstheme="majorBidi"/>
        </w:rPr>
        <w:t xml:space="preserve">Rudi Santoso, Fathul Mu’in, dan Arif Fikri, “Optimalisasi Tugas dan Fungsi DPRD dalam Mewujudkan Pemerintahan Bersih,” </w:t>
      </w:r>
      <w:r w:rsidRPr="00F113C5">
        <w:rPr>
          <w:rFonts w:ascii="Garamond" w:hAnsi="Garamond" w:cstheme="majorBidi"/>
          <w:i/>
          <w:iCs/>
        </w:rPr>
        <w:t xml:space="preserve">As-Siyasi: Journal of Constitutional Law, </w:t>
      </w:r>
      <w:r w:rsidRPr="00F113C5">
        <w:rPr>
          <w:rFonts w:ascii="Garamond" w:hAnsi="Garamond" w:cstheme="majorBidi"/>
        </w:rPr>
        <w:t xml:space="preserve">Volume 1 Nomor 1 ( Mei 2021): 100–117, </w:t>
      </w:r>
      <w:hyperlink r:id="rId2" w:history="1">
        <w:r w:rsidRPr="00F113C5">
          <w:rPr>
            <w:rStyle w:val="Hyperlink"/>
            <w:rFonts w:ascii="Garamond" w:eastAsiaTheme="majorEastAsia" w:hAnsi="Garamond" w:cstheme="majorBidi"/>
            <w:color w:val="auto"/>
            <w:shd w:val="clear" w:color="auto" w:fill="FFFFFF"/>
          </w:rPr>
          <w:t>https://doi.org/10.24042/as-siyasi.v1i1.8960</w:t>
        </w:r>
      </w:hyperlink>
      <w:r w:rsidRPr="00F113C5">
        <w:rPr>
          <w:rFonts w:ascii="Garamond" w:hAnsi="Garamond" w:cstheme="majorBidi"/>
        </w:rPr>
        <w:t>.</w:t>
      </w:r>
      <w:r w:rsidRPr="00F113C5">
        <w:rPr>
          <w:rFonts w:ascii="Garamond" w:hAnsi="Garamond" w:cstheme="majorBidi"/>
        </w:rPr>
        <w:fldChar w:fldCharType="end"/>
      </w:r>
    </w:p>
  </w:footnote>
  <w:footnote w:id="5">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{"citationItems":[{"id":"ITEM-1","itemData":{"DOI":"10.21111/tsaqafah.v8i2.25","ISSN":"1411-0334","abstract":"This article concentrates on Islamic law product relating to charitable religious endowment (waqf) in Indonesia. Based on the traditional perspective of fiqh originated from the earlier Islamic jurists of orthodox view and in turn it had long been legislised as part of Indonesia positive law system, the law of waqf had regulated that the wealth to be waqf shall be limited to only unmoving properties. This regulation had led the management of waqf to be unproductive to raise the social welfare. By the virtue of the relatively wider viwpoint of the contemporary Islamic law thinkers, the Islamic law reform takes place in Indonesia particularly at the level of postive law, namely Law Number 41/ 2004 Relating to Waqf. This law stipulates the thing to be waqf could be either unmoving or moving properties, like cash, gold, certificate of obligation, inteletual wealth, and so forth. This law also lays down the regulation relating to the penalty against those who deviate in managing a waqf. However, as a critque and recommendation the writer propose that the society could be involved in preserving the purpose of a waqf which is the right of Allah. And it could be conducted by stipulating the class action as a way of the settlements of dispute occuring to a waqf property. Tulisan ini berbicara tentang produk hukum Islam mengenai perwakafan di Indonesia.Tidak terlepas dari pemahaman fikih yang diwarisi selama berabad-abad dari para ulama yang berpandangan tradisional dalam masalah harta wakaf, demikian juga instrumen hukum perwakafan yang telah masuk dalam sistem hukum Indonesia mengatur harta wakaf terbatas pada benda-benda yang tidak bergerak. Hal ini berakibat pada pengelolaan wakaf tidak mampu membuahkan manfaat yang dapat memobilisasi wakaf itu sendiri untuk berfungsi sebagai lembaga keagamaan dan kemasyarakan yang meningkatkan kesejahteraan umat.","author":[{"dropping-particle":"","family":"Siregar","given":"Ibrahim","non-dropping-particle":"","parse-names":false,"suffix":""}],"container-title":"Tsaqafah","id":"ITEM-1","issue":"2","issued":{"date-parts":[["2012"]]},"number-of-pages":"273","publisher":"Darul Ulum Press","publisher-place":"Jakarta","title":"Pembaruan Hukum Perwakafan di Indonesia","type":"book","volume":"8"},"locator":"2","uris":["http://www.mendeley.com/documents/?uuid=f3828fe0-cfb7-41ad-b03f-0748df757f9f"]}],"mendeley":{"formattedCitation":"Ibrahim Siregar, &lt;i&gt;Pembaruan Hukum Perwakafan Di Indonesia&lt;/i&gt;, &lt;i&gt;Tsaqafah&lt;/i&gt; (Jakarta: Darul Ulum Press, 2012), &lt;span style=\"font-variant:small-caps;\"&gt;viii&lt;/span&gt;, p. 2 &lt;https://doi.org/10.21111/tsaqafah.v8i2.25&gt;.","plainTextFormattedCitation":"Ibrahim Siregar, Pembaruan Hukum Perwakafan Di Indonesia, Tsaqafah (Jakarta: Darul Ulum Press, 2012), viii, p. 2 .","previouslyFormattedCitation":"Ibrahim Siregar, &lt;i&gt;Pembaruan Hukum Perwakafan Di Indonesia&lt;/i&gt;, &lt;i&gt;Tsaqafah&lt;/i&gt; (Jakarta: Darul Ulum Press, 2012), &lt;span style=\"font-variant:small-caps;\"&gt;viii&lt;/span&gt;, p. 2 &lt;https://doi.org/10.21111/tsaqafah.v8i2.25&gt;."},"properties":{"noteIndex":4},"schema":"https://github.com/citation-style-language/schema/raw/master/csl-citation.json"}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Ibrahim Siregar, </w:t>
      </w:r>
      <w:r w:rsidRPr="00F113C5">
        <w:rPr>
          <w:rFonts w:ascii="Garamond" w:hAnsi="Garamond" w:cs="Times New Roman"/>
          <w:bCs/>
          <w:i/>
          <w:noProof/>
          <w:lang w:val="en-US"/>
        </w:rPr>
        <w:t>Pembaruan Hukum Perwakafan Di Indonesia</w:t>
      </w:r>
      <w:r w:rsidRPr="00F113C5">
        <w:rPr>
          <w:rFonts w:ascii="Garamond" w:hAnsi="Garamond" w:cs="Times New Roman"/>
          <w:bCs/>
          <w:noProof/>
          <w:lang w:val="en-US"/>
        </w:rPr>
        <w:t xml:space="preserve">, </w:t>
      </w:r>
      <w:r w:rsidRPr="00F113C5">
        <w:rPr>
          <w:rFonts w:ascii="Garamond" w:hAnsi="Garamond" w:cs="Times New Roman"/>
          <w:bCs/>
          <w:i/>
          <w:noProof/>
          <w:lang w:val="en-US"/>
        </w:rPr>
        <w:t>Tsaqafah</w:t>
      </w:r>
      <w:r w:rsidRPr="00F113C5">
        <w:rPr>
          <w:rFonts w:ascii="Garamond" w:hAnsi="Garamond" w:cs="Times New Roman"/>
          <w:bCs/>
          <w:noProof/>
          <w:lang w:val="en-US"/>
        </w:rPr>
        <w:t xml:space="preserve"> (Jakarta: Darul Ulum Press, 2012), </w:t>
      </w:r>
      <w:r w:rsidRPr="00F113C5">
        <w:rPr>
          <w:rFonts w:ascii="Garamond" w:hAnsi="Garamond" w:cs="Times New Roman"/>
          <w:bCs/>
          <w:smallCaps/>
          <w:noProof/>
          <w:lang w:val="en-US"/>
        </w:rPr>
        <w:t>viii</w:t>
      </w:r>
      <w:r w:rsidRPr="00F113C5">
        <w:rPr>
          <w:rFonts w:ascii="Garamond" w:hAnsi="Garamond" w:cs="Times New Roman"/>
          <w:bCs/>
          <w:noProof/>
          <w:lang w:val="en-US"/>
        </w:rPr>
        <w:t>, p. 2 &lt;https://doi.org/10.21111/tsaqafah.v8i2.25&gt;.</w:t>
      </w:r>
      <w:r w:rsidRPr="00F113C5">
        <w:rPr>
          <w:rFonts w:ascii="Garamond" w:hAnsi="Garamond" w:cs="Times New Roman"/>
        </w:rPr>
        <w:fldChar w:fldCharType="end"/>
      </w:r>
    </w:p>
  </w:footnote>
  <w:footnote w:id="6">
    <w:p w:rsidR="00AF71DD" w:rsidRPr="00F113C5" w:rsidRDefault="00AF71DD" w:rsidP="00C2300E">
      <w:pPr>
        <w:pStyle w:val="FootnoteText"/>
        <w:jc w:val="both"/>
        <w:rPr>
          <w:rFonts w:ascii="Garamond" w:hAnsi="Garamond"/>
        </w:rPr>
      </w:pPr>
      <w:r w:rsidRPr="00F113C5">
        <w:rPr>
          <w:rFonts w:ascii="Garamond" w:hAnsi="Garamond"/>
        </w:rPr>
        <w:tab/>
      </w:r>
      <w:r w:rsidRPr="00F113C5">
        <w:rPr>
          <w:rStyle w:val="FootnoteReference"/>
          <w:rFonts w:ascii="Garamond" w:hAnsi="Garamond"/>
        </w:rPr>
        <w:footnoteRef/>
      </w:r>
      <w:r w:rsidRPr="00F113C5">
        <w:rPr>
          <w:rFonts w:ascii="Garamond" w:hAnsi="Garamond"/>
        </w:rPr>
        <w:t xml:space="preserve"> </w:t>
      </w:r>
      <w:r w:rsidRPr="00F113C5">
        <w:rPr>
          <w:rFonts w:ascii="Garamond" w:hAnsi="Garamond"/>
        </w:rPr>
        <w:fldChar w:fldCharType="begin"/>
      </w:r>
      <w:r w:rsidRPr="00F113C5">
        <w:rPr>
          <w:rFonts w:ascii="Garamond" w:hAnsi="Garamond"/>
        </w:rPr>
        <w:instrText xml:space="preserve"> ADDIN ZOTERO_ITEM CSL_CITATION {"citationID":"ybWYMVms","properties":{"custom":"Mu\\uc0\\u8217{}in, Fathul, Faisal Faisal, Arif Fikri, Habib Shulton Asnawi, and M. Anwar Nawawi. \\uc0\\u8220{}The Practice of Subtitute Heirs in Indonesian Religious Court: Restricted Interpretation.\\uc0\\u8221{} {\\i{}Al-Ahwal: Jurnal Hukum Keluarga Islam} 16, no. 1 (June 30, 2023): 141\\uc0\\u8211{}57. https://doi.org/10.14421/ahwal.2023.16107.","formattedCitation":"Mu\\uc0\\u8217{}in, Fathul, Faisal Faisal, Arif Fikri, Habib Shulton Asnawi, and M. Anwar Nawawi. \\uc0\\u8220{}The Practice of Subtitute Heirs in Indonesian Religious Court: Restricted Interpretation.\\uc0\\u8221{} {\\i{}Al-Ahwal: Jurnal Hukum Keluarga Islam} 16, no. 1 (June 30, 2023): 141\\uc0\\u8211{}57. https://doi.org/10.14421/ahwal.2023.16107.","plainCitation":"Mu’in, Fathul, Faisal Faisal, Arif Fikri, Habib Shulton Asnawi, and M. Anwar Nawawi. “The Practice of Subtitute Heirs in Indonesian Religious Court: Restricted Interpretation.” Al-Ahwal: Jurnal Hukum Keluarga Islam 16, no. 1 (June 30, 2023): 141–57. https://doi.org/10.14421/ahwal.2023.16107.","noteIndex":7},"citationItems":[{"id":149,"uris":["http://zotero.org/users/local/agLgmyhT/items/MBRJ7ZVF"],"itemData":{"id":149,"type":"article-journal","abstract":"As part of reformation outcomes, the substitute heir in Islamic inheritance law has been long heeded by Indonesian jurists. However, amidst the facet of the traditional scheme, Indonesian Religious Court judges (judex factie) have not shared the same implementation of this succession. This article endeavors to examine the practice of substitute heir in the field. Relies on the Religious Court decisions as the primary source, this article argues that the norm of substitute heir (Article 185 of The Compilation of Islamic Law) has been implemented restrictedly according to The Compilation and the Supreme Court consensus. Restricted interpretation means the descendants of the pre-deceased side-relative was not accounted as substitute heir. It implies that the state reformation attempt in Islamic inheritance law has not come into play in the way the state desires.[Sebagai bagian dari hasil reformasi, substitute heir dalam hukum waris Islam telah lama diperhatikan oleh para ahli hukum Indonesia. Namun, di tengah sisi skema tradisional, hakim Pengadilan Agama Indonesia (judex factie) belum memiliki kesamaan pelaksanaan suksesi ini. Artikel ini mencoba mengkaji praktek penerapan substitute heir di lapangan. Berpijak pada putusan Pengadilan Agama sebagai sumber data utama, artikel ini berargumen bahwa norma substitute heir (Pasal 185 Kompilasi Hukum Islam) telah dilaksanakan secara terbatas menurut Kompilasi dan konsensus Mahkamah Agung. Penafsiran terbatas berarti keturunan dari kerabat menyamping yang telah meninggal dunia terlebih dahulu tidak diperhitungkan sebagai substitute heir. Ini menyiratkan bahwa upaya reformasi negara dalam hukum waris Islam belum diterapkan sesuai yang diinginkan negara.]","container-title":"Al-Ahwal: Jurnal Hukum Keluarga Islam","DOI":"10.14421/ahwal.2023.16107","ISSN":"2528-6617, 2085-627X","issue":"1","journalAbbreviation":"Al-Ahwal j. hk. keluarga islam","page":"141","source":"DOI.org (Crossref)","title":"THE PRACTICE OF SUBSTITUTE HAIRS IN INDONESIAN RELIGIOUS COURT: Restricted Interpretation","title-short":"THE PRACTICE OF SUBSTITUTE HAIRS IN INDONESIAN RELIGIOUS COURT","volume":"16","author":[{"family":"Mu’in","given":"Fathul"},{"family":"Faisal","given":"Faisal"},{"family":"Fikri","given":"Arif"},{"family":"Asnawi","given":"Habib Shulton"},{"family":"Nawawi","given":"M Anwar"}],"issued":{"date-parts":[["2023",6,30]]}}}],"schema":"https://github.com/citation-style-language/schema/raw/master/csl-citation.json"} </w:instrText>
      </w:r>
      <w:r w:rsidRPr="00F113C5">
        <w:rPr>
          <w:rFonts w:ascii="Garamond" w:hAnsi="Garamond"/>
        </w:rPr>
        <w:fldChar w:fldCharType="separate"/>
      </w:r>
      <w:r w:rsidRPr="00F113C5">
        <w:rPr>
          <w:rFonts w:ascii="Garamond" w:hAnsi="Garamond" w:cs="Calibri"/>
        </w:rPr>
        <w:t xml:space="preserve">Mu’in, Fathul, Faisal Faisal, Arif Fikri, Habib Shulton Asnawi, and M. Anwar Nawawi. “The Practice of Subtitute Heirs in Indonesian Religious Court: Restricted Interpretation.” </w:t>
      </w:r>
      <w:r w:rsidRPr="00F113C5">
        <w:rPr>
          <w:rFonts w:ascii="Garamond" w:hAnsi="Garamond" w:cs="Calibri"/>
          <w:i/>
          <w:iCs/>
        </w:rPr>
        <w:t>Al-Ahwal: Jurnal Hukum Keluarga Islam</w:t>
      </w:r>
      <w:r w:rsidRPr="00F113C5">
        <w:rPr>
          <w:rFonts w:ascii="Garamond" w:hAnsi="Garamond" w:cs="Calibri"/>
        </w:rPr>
        <w:t xml:space="preserve"> 16, no. 1 (June 30, 2023): 141–57. https://doi.org/10.14421/ahwal.2023.16107.</w:t>
      </w:r>
      <w:r w:rsidRPr="00F113C5">
        <w:rPr>
          <w:rFonts w:ascii="Garamond" w:hAnsi="Garamond"/>
        </w:rPr>
        <w:fldChar w:fldCharType="end"/>
      </w:r>
    </w:p>
  </w:footnote>
  <w:footnote w:id="7">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{"citationItems":[{"id":"ITEM-1","itemData":{"author":[{"dropping-particle":"","family":"Abduh","given":"M","non-dropping-particle":"","parse-names":false,"suffix":""}],"id":"ITEM-1","issued":{"date-parts":[["2019"]]},"page":"– , 185–206","publisher":"Al-Shajarah","title":"NoThe Role of Islamic Social Finance in Achieving SDG Number 2: End hunger, Achieve Food Security and Improved Nutrition and Promote Sustainable Agriculture","type":"article"},"uris":["http://www.mendeley.com/documents/?uuid=e46b2b53-c847-4a32-a24a-4c56aed435aa"]}],"mendeley":{"formattedCitation":"M Abduh, ‘NoThe Role of Islamic Social Finance in Achieving SDG Number 2: End Hunger, Achieve Food Security and Improved Nutrition and Promote Sustainable Agriculture’ (Al-Shajarah, 2019), p. 185–206.","plainTextFormattedCitation":"M Abduh, ‘NoThe Role of Islamic Social Finance in Achieving SDG Number 2: End Hunger, Achieve Food Security and Improved Nutrition and Promote Sustainable Agriculture’ (Al-Shajarah, 2019), p. 185–206.","previouslyFormattedCitation":"M Abduh, ‘NoThe Role of Islamic Social Finance in Achieving SDG Number 2: End Hunger, Achieve Food Security and Improved Nutrition and Promote Sustainable Agriculture’ (Al-Shajarah, 2019), p. 185–206."},"properties":{"noteIndex":5},"schema":"https://github.com/citation-style-language/schema/raw/master/csl-citation.json"}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M Abduh, ‘NoThe Role of Islamic Social Finance in Achieving SDG Number 2: End Hunger, Achieve Food Security and Improved Nutrition and Promote Sustainable Agriculture’ (Al-Shajarah, 2019), p. 185–206.</w:t>
      </w:r>
      <w:r w:rsidRPr="00F113C5">
        <w:rPr>
          <w:rFonts w:ascii="Garamond" w:hAnsi="Garamond" w:cs="Times New Roman"/>
        </w:rPr>
        <w:fldChar w:fldCharType="end"/>
      </w:r>
    </w:p>
  </w:footnote>
  <w:footnote w:id="8">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{"citationItems":[{"id":"ITEM-1","itemData":{"author":[{"dropping-particle":"","family":"Zain","given":"N R M","non-dropping-particle":"","parse-names":false,"suffix":""},{"dropping-particle":"","family":"Mahadi","given":"N F","non-dropping-particle":"","parse-names":false,"suffix":""},{"dropping-particle":"","family":"Noor","given":"A M","non-dropping-particle":"","parse-names":false,"suffix":""}],"id":"ITEM-1","issued":{"date-parts":[["2019"]]},"page":"– , 89–106","title":"The potential in reviving waqf through crowdfunding technology: The case study of thailand","type":"article"},"uris":["http://www.mendeley.com/documents/?uuid=2095e870-ac4d-4c37-ad84-62dfa1e4f132"]}],"mendeley":{"formattedCitation":"N R M Zain, N F Mahadi, and A M Noor, ‘The Potential in Reviving Waqf through Crowdfunding Technology: The Case Study of Thailand’, 2019, p. 89–106.","plainTextFormattedCitation":"N R M Zain, N F Mahadi, and A M Noor, ‘The Potential in Reviving Waqf through Crowdfunding Technology: The Case Study of Thailand’, 2019, p. 89–106.","previouslyFormattedCitation":"N R M Zain, N F Mahadi, and A M Noor, ‘The Potential in Reviving Waqf through Crowdfunding Technology: The Case Study of Thailand’, 2019, p. 89–106."},"properties":{"noteIndex":6},"schema":"https://github.com/citation-style-language/schema/raw/master/csl-citation.json"}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N R M Zain, N F Mahadi, and A M Noor, ‘The Potential in Reviving Waqf through Crowdfunding Technology: The Case Study of Thailand’, 2019, p. 89–106.</w:t>
      </w:r>
      <w:r w:rsidRPr="00F113C5">
        <w:rPr>
          <w:rFonts w:ascii="Garamond" w:hAnsi="Garamond" w:cs="Times New Roman"/>
        </w:rPr>
        <w:fldChar w:fldCharType="end"/>
      </w:r>
    </w:p>
  </w:footnote>
  <w:footnote w:id="9">
    <w:p w:rsidR="00AF71DD" w:rsidRPr="00F113C5" w:rsidRDefault="00AF71DD" w:rsidP="00C2300E">
      <w:pPr>
        <w:pStyle w:val="FootnoteText"/>
        <w:jc w:val="both"/>
        <w:rPr>
          <w:rFonts w:ascii="Garamond" w:hAnsi="Garamond" w:cstheme="majorBidi"/>
        </w:rPr>
      </w:pPr>
      <w:r w:rsidRPr="00F113C5">
        <w:rPr>
          <w:rFonts w:ascii="Garamond" w:hAnsi="Garamond" w:cstheme="majorBidi"/>
        </w:rPr>
        <w:tab/>
      </w:r>
      <w:r w:rsidRPr="00F113C5">
        <w:rPr>
          <w:rStyle w:val="FootnoteReference"/>
          <w:rFonts w:ascii="Garamond" w:hAnsi="Garamond" w:cstheme="majorBidi"/>
        </w:rPr>
        <w:footnoteRef/>
      </w:r>
      <w:r w:rsidRPr="00F113C5">
        <w:rPr>
          <w:rFonts w:ascii="Garamond" w:hAnsi="Garamond" w:cstheme="majorBidi"/>
        </w:rPr>
        <w:t xml:space="preserve"> </w:t>
      </w:r>
      <w:r w:rsidRPr="00F113C5">
        <w:rPr>
          <w:rFonts w:ascii="Garamond" w:hAnsi="Garamond" w:cstheme="majorBidi"/>
        </w:rPr>
        <w:fldChar w:fldCharType="begin"/>
      </w:r>
      <w:r w:rsidRPr="00F113C5">
        <w:rPr>
          <w:rFonts w:ascii="Garamond" w:hAnsi="Garamond" w:cstheme="majorBidi"/>
        </w:rPr>
        <w:instrText xml:space="preserve"> ADDIN ZOTERO_ITEM CSL_CITATION {"citationID":"2YtJr19L","properties":{"formattedCitation":"Fathul Mu\\uc0\\u8217{}in and others, \\uc0\\u8216{}THE PRACTICE OF SUBSTITUTE HAIRS IN INDONESIAN RELIGIOUS COURT: Restricted Interpretation\\uc0\\u8217{}, {\\i{}Al-Ahwal: Jurnal Hukum Keluarga Islam}, 16.1 (2023), 141 &lt;https://doi.org/10.14421/ahwal.2023.16107&gt;.","plainCitation":"Fathul Mu’in and others, ‘THE PRACTICE OF SUBSTITUTE HAIRS IN INDONESIAN RELIGIOUS COURT: Restricted Interpretation’, Al-Ahwal: Jurnal Hukum Keluarga Islam, 16.1 (2023), 141 &lt;https://doi.org/10.14421/ahwal.2023.16107&gt;.","noteIndex":12},"citationItems":[{"id":149,"uris":["http://zotero.org/users/local/agLgmyhT/items/MBRJ7ZVF"],"itemData":{"id":149,"type":"article-journal","abstract":"As part of reformation outcomes, the substitute heir in Islamic inheritance law has been long heeded by Indonesian jurists. However, amidst the facet of the traditional scheme, Indonesian Religious Court judges (judex factie) have not shared the same implementation of this succession. This article endeavors to examine the practice of substitute heir in the field. Relies on the Religious Court decisions as the primary source, this article argues that the norm of substitute heir (Article 185 of The Compilation of Islamic Law) has been implemented restrictedly according to The Compilation and the Supreme Court consensus. Restricted interpretation means the descendants of the pre-deceased side-relative was not accounted as substitute heir. It implies that the state reformation attempt in Islamic inheritance law has not come into play in the way the state desires.[Sebagai bagian dari hasil reformasi, substitute heir dalam hukum waris Islam telah lama diperhatikan oleh para ahli hukum Indonesia. Namun, di tengah sisi skema tradisional, hakim Pengadilan Agama Indonesia (judex factie) belum memiliki kesamaan pelaksanaan suksesi ini. Artikel ini mencoba mengkaji praktek penerapan substitute heir di lapangan. Berpijak pada putusan Pengadilan Agama sebagai sumber data utama, artikel ini berargumen bahwa norma substitute heir (Pasal 185 Kompilasi Hukum Islam) telah dilaksanakan secara terbatas menurut Kompilasi dan konsensus Mahkamah Agung. Penafsiran terbatas berarti keturunan dari kerabat menyamping yang telah meninggal dunia terlebih dahulu tidak diperhitungkan sebagai substitute heir. Ini menyiratkan bahwa upaya reformasi negara dalam hukum waris Islam belum diterapkan sesuai yang diinginkan negara.]","container-title":"Al-Ahwal: Jurnal Hukum Keluarga Islam","DOI":"10.14421/ahwal.2023.16107","ISSN":"2528-6617, 2085-627X","issue":"1","journalAbbreviation":"Al-Ahwal j. hk. keluarga islam","page":"141","source":"DOI.org (Crossref)","title":"THE PRACTICE OF SUBSTITUTE HAIRS IN INDONESIAN RELIGIOUS COURT: Restricted Interpretation","title-short":"THE PRACTICE OF SUBSTITUTE HAIRS IN INDONESIAN RELIGIOUS COURT","volume":"16","author":[{"family":"Mu’in","given":"Fathul"},{"family":"Faisal","given":"Faisal"},{"family":"Fikri","given":"Arif"},{"family":"Asnawi","given":"Habib Shulton"},{"family":"Nawawi","given":"M Anwar"}],"issued":{"date-parts":[["2023",6,30]]}}}],"schema":"https://github.com/citation-style-language/schema/raw/master/csl-citation.json"} </w:instrText>
      </w:r>
      <w:r w:rsidRPr="00F113C5">
        <w:rPr>
          <w:rFonts w:ascii="Garamond" w:hAnsi="Garamond" w:cstheme="majorBidi"/>
        </w:rPr>
        <w:fldChar w:fldCharType="separate"/>
      </w:r>
      <w:r w:rsidRPr="00F113C5">
        <w:rPr>
          <w:rFonts w:ascii="Garamond" w:hAnsi="Garamond" w:cstheme="majorBidi"/>
          <w:szCs w:val="24"/>
        </w:rPr>
        <w:t>Fathul Mu’in and others, ‘THE PRACTICE OF SUBSTITUTE H</w:t>
      </w:r>
      <w:r w:rsidRPr="00F113C5">
        <w:rPr>
          <w:rFonts w:ascii="Garamond" w:hAnsi="Garamond" w:cstheme="majorBidi"/>
          <w:szCs w:val="24"/>
          <w:lang w:val="en-US"/>
        </w:rPr>
        <w:t>E</w:t>
      </w:r>
      <w:r w:rsidRPr="00F113C5">
        <w:rPr>
          <w:rFonts w:ascii="Garamond" w:hAnsi="Garamond" w:cstheme="majorBidi"/>
          <w:szCs w:val="24"/>
        </w:rPr>
        <w:t xml:space="preserve">IRS IN INDONESIAN RELIGIOUS COURT: Restricted Interpretation’, </w:t>
      </w:r>
      <w:r w:rsidRPr="00F113C5">
        <w:rPr>
          <w:rFonts w:ascii="Garamond" w:hAnsi="Garamond" w:cstheme="majorBidi"/>
          <w:i/>
          <w:iCs/>
          <w:szCs w:val="24"/>
        </w:rPr>
        <w:t>Al-Ahwal: Jurnal Hukum Keluarga Islam</w:t>
      </w:r>
      <w:r w:rsidRPr="00F113C5">
        <w:rPr>
          <w:rFonts w:ascii="Garamond" w:hAnsi="Garamond" w:cstheme="majorBidi"/>
          <w:szCs w:val="24"/>
        </w:rPr>
        <w:t>, 16.1 (2023), 141 &lt;https://doi.org/10.14421/ahwal.2023.16107&gt;.</w:t>
      </w:r>
      <w:r w:rsidRPr="00F113C5">
        <w:rPr>
          <w:rFonts w:ascii="Garamond" w:hAnsi="Garamond" w:cstheme="majorBidi"/>
        </w:rPr>
        <w:fldChar w:fldCharType="end"/>
      </w:r>
    </w:p>
  </w:footnote>
  <w:footnote w:id="10">
    <w:p w:rsidR="00AF71DD" w:rsidRPr="00F113C5" w:rsidRDefault="00AF71DD" w:rsidP="00C2300E">
      <w:pPr>
        <w:pStyle w:val="FootnoteText"/>
        <w:jc w:val="both"/>
        <w:rPr>
          <w:rFonts w:ascii="Garamond" w:hAnsi="Garamond" w:cstheme="majorBidi"/>
        </w:rPr>
      </w:pPr>
      <w:r w:rsidRPr="00F113C5">
        <w:rPr>
          <w:rFonts w:ascii="Garamond" w:hAnsi="Garamond" w:cstheme="majorBidi"/>
        </w:rPr>
        <w:tab/>
      </w:r>
      <w:r w:rsidRPr="00F113C5">
        <w:rPr>
          <w:rStyle w:val="FootnoteReference"/>
          <w:rFonts w:ascii="Garamond" w:hAnsi="Garamond" w:cstheme="majorBidi"/>
        </w:rPr>
        <w:footnoteRef/>
      </w:r>
      <w:r w:rsidRPr="00F113C5">
        <w:rPr>
          <w:rFonts w:ascii="Garamond" w:hAnsi="Garamond" w:cstheme="majorBidi"/>
        </w:rPr>
        <w:t xml:space="preserve"> </w:t>
      </w:r>
      <w:r w:rsidRPr="00F113C5">
        <w:rPr>
          <w:rFonts w:ascii="Garamond" w:hAnsi="Garamond" w:cstheme="majorBidi"/>
        </w:rPr>
        <w:fldChar w:fldCharType="begin"/>
      </w:r>
      <w:r w:rsidRPr="00F113C5">
        <w:rPr>
          <w:rFonts w:ascii="Garamond" w:hAnsi="Garamond" w:cstheme="majorBidi"/>
        </w:rPr>
        <w:instrText xml:space="preserve"> ADDIN ZOTERO_ITEM CSL_CITATION {"citationID":"lq4Z0HEq","properties":{"formattedCitation":"Fathul Mu\\uc0\\u8217{}in, Meli Yanti, \\uc0\\u8216{}Pengaruh Pemahaman Masyarakat Terhadap Pergantian Nasab Anak Oleh Ayah Angkat Perspektif Hukum Islam\\uc0\\u8217{}, {\\i{}Syakhshiyyah Jurnal Hukum Keluarga Islam}, Jilid 3.terbitan 2, h. 176-192 &lt;https://doi.org/10.32332/syakhshiyyah.v3i2.7926&gt;.","plainCitation":"Fathul Mu’in, Meli Yanti, ‘Pengaruh Pemahaman Masyarakat Terhadap Pergantian Nasab Anak Oleh Ayah Angkat Perspektif Hukum Islam’, Syakhshiyyah Jurnal Hukum Keluarga Islam, Jilid 3.terbitan 2, h. 176-192 &lt;https://doi.org/10.32332/syakhshiyyah.v3i2.7926&gt;.","noteIndex":11},"citationItems":[{"id":216,"uris":["http://zotero.org/users/local/agLgmyhT/items/S4IBM8ZQ"],"itemData":{"id":216,"type":"article-journal","container-title":"Syakhshiyyah Jurnal Hukum Keluarga Islam","DOI":"https://doi.org/10.32332/syakhshiyyah.v3i2.7926","issue":"terbitan 2","page":"h. 176-192","title":"Pengaruh Pemahaman Masyarakat Terhadap Pergantian Nasab Anak Oleh Ayah Angkat Perspektif Hukum Islam","volume":"Jilid 3","author":[{"family":"Fathul Mu'in, Meli Yanti","given":""}]}}],"schema":"https://github.com/citation-style-language/schema/raw/master/csl-citation.json"} </w:instrText>
      </w:r>
      <w:r w:rsidRPr="00F113C5">
        <w:rPr>
          <w:rFonts w:ascii="Garamond" w:hAnsi="Garamond" w:cstheme="majorBidi"/>
        </w:rPr>
        <w:fldChar w:fldCharType="separate"/>
      </w:r>
      <w:r w:rsidRPr="00F113C5">
        <w:rPr>
          <w:rFonts w:ascii="Garamond" w:hAnsi="Garamond" w:cstheme="majorBidi"/>
          <w:szCs w:val="24"/>
        </w:rPr>
        <w:t xml:space="preserve">Fathul Mu’in, Meli Yanti, ‘Pengaruh Pemahaman Masyarakat Terhadap Pergantian Nasab Anak Oleh Ayah Angkat Perspektif Hukum Islam’, </w:t>
      </w:r>
      <w:r w:rsidRPr="00F113C5">
        <w:rPr>
          <w:rFonts w:ascii="Garamond" w:hAnsi="Garamond" w:cstheme="majorBidi"/>
          <w:i/>
          <w:iCs/>
          <w:szCs w:val="24"/>
        </w:rPr>
        <w:t>Syakhshiyyah Jurnal Hukum Keluarga Islam</w:t>
      </w:r>
      <w:r w:rsidRPr="00F113C5">
        <w:rPr>
          <w:rFonts w:ascii="Garamond" w:hAnsi="Garamond" w:cstheme="majorBidi"/>
          <w:szCs w:val="24"/>
        </w:rPr>
        <w:t>, Jilid 3.terbitan 2, h. 176-192 &lt;https://doi.org/10.32332/syakhshiyyah.v3i2.7926&gt;.</w:t>
      </w:r>
      <w:r w:rsidRPr="00F113C5">
        <w:rPr>
          <w:rFonts w:ascii="Garamond" w:hAnsi="Garamond" w:cstheme="majorBidi"/>
        </w:rPr>
        <w:fldChar w:fldCharType="end"/>
      </w:r>
    </w:p>
  </w:footnote>
  <w:footnote w:id="11">
    <w:p w:rsidR="00AF71DD" w:rsidRPr="00F113C5" w:rsidRDefault="00AF71DD" w:rsidP="00C2300E">
      <w:pPr>
        <w:pStyle w:val="FootnoteText"/>
        <w:jc w:val="both"/>
        <w:rPr>
          <w:rFonts w:ascii="Garamond" w:hAnsi="Garamond" w:cstheme="majorBidi"/>
          <w:lang w:val="en-US"/>
        </w:rPr>
      </w:pPr>
      <w:r w:rsidRPr="00F113C5">
        <w:rPr>
          <w:rStyle w:val="FootnoteReference"/>
          <w:rFonts w:ascii="Garamond" w:hAnsi="Garamond" w:cstheme="majorBidi"/>
        </w:rPr>
        <w:footnoteRef/>
      </w:r>
      <w:r w:rsidRPr="00F113C5">
        <w:rPr>
          <w:rFonts w:ascii="Garamond" w:hAnsi="Garamond" w:cstheme="majorBidi"/>
        </w:rPr>
        <w:t xml:space="preserve"> </w:t>
      </w:r>
      <w:r w:rsidRPr="00F113C5">
        <w:rPr>
          <w:rFonts w:ascii="Garamond" w:hAnsi="Garamond" w:cstheme="majorBidi"/>
        </w:rPr>
        <w:fldChar w:fldCharType="begin" w:fldLock="1"/>
      </w:r>
      <w:r w:rsidRPr="00F113C5">
        <w:rPr>
          <w:rFonts w:ascii="Garamond" w:hAnsi="Garamond" w:cstheme="majorBidi"/>
        </w:rPr>
        <w:instrText>ADDIN CSL_CITATION {"citationItems":[{"id":"ITEM-1","itemData":{"author":[{"dropping-particle":"","family":"Ahmad Muhammad Al-Assal","given":"","non-dropping-particle":"","parse-names":false,"suffix":""}],"id":"ITEM-1","issued":{"date-parts":[["1999"]]},"number-of-pages":"126","publisher":"Pustaka Setia","publisher-place":"Bandung","title":"Sistem, Prinsip dan Tujuan Ekonomi Islam","type":"book"},"uris":["http://www.mendeley.com/documents/?uuid=c00f4f9f-d55b-449a-9f0c-769f80b92c47"]}],"mendeley":{"formattedCitation":"Ahmad Muhammad Al-Assal, &lt;i&gt;Sistem, Prinsip Dan Tujuan Ekonomi Islam&lt;/i&gt; (Bandung: Pustaka Setia, 1999).","plainTextFormattedCitation":"Ahmad Muhammad Al-Assal, Sistem, Prinsip Dan Tujuan Ekonomi Islam (Bandung: Pustaka Setia, 1999).","previouslyFormattedCitation":"Ahmad Muhammad Al-Assal, &lt;i&gt;Sistem, Prinsip Dan Tujuan Ekonomi Islam&lt;/i&gt; (Bandung: Pustaka Setia, 1999)."},"properties":{"noteIndex":1},"schema":"https://github.com/citation-style-language/schema/raw/master/csl-citation.json"}</w:instrText>
      </w:r>
      <w:r w:rsidRPr="00F113C5">
        <w:rPr>
          <w:rFonts w:ascii="Garamond" w:hAnsi="Garamond" w:cstheme="majorBidi"/>
        </w:rPr>
        <w:fldChar w:fldCharType="separate"/>
      </w:r>
      <w:r w:rsidRPr="00F113C5">
        <w:rPr>
          <w:rFonts w:ascii="Garamond" w:hAnsi="Garamond" w:cstheme="majorBidi"/>
          <w:noProof/>
        </w:rPr>
        <w:t xml:space="preserve">Ahmad Muhammad Al-Assal, </w:t>
      </w:r>
      <w:r w:rsidRPr="00F113C5">
        <w:rPr>
          <w:rFonts w:ascii="Garamond" w:hAnsi="Garamond" w:cstheme="majorBidi"/>
          <w:i/>
          <w:noProof/>
        </w:rPr>
        <w:t>Sistem, Prinsip Dan Tujuan Ekonomi Islam</w:t>
      </w:r>
      <w:r w:rsidRPr="00F113C5">
        <w:rPr>
          <w:rFonts w:ascii="Garamond" w:hAnsi="Garamond" w:cstheme="majorBidi"/>
          <w:noProof/>
        </w:rPr>
        <w:t xml:space="preserve"> (Bandung: Pustaka Setia, 1999).</w:t>
      </w:r>
      <w:r w:rsidRPr="00F113C5">
        <w:rPr>
          <w:rFonts w:ascii="Garamond" w:hAnsi="Garamond" w:cstheme="majorBidi"/>
        </w:rPr>
        <w:fldChar w:fldCharType="end"/>
      </w:r>
      <w:r w:rsidRPr="00F113C5">
        <w:rPr>
          <w:rFonts w:ascii="Garamond" w:hAnsi="Garamond" w:cstheme="majorBidi"/>
          <w:lang w:val="en-US"/>
        </w:rPr>
        <w:t xml:space="preserve"> 126</w:t>
      </w:r>
    </w:p>
  </w:footnote>
  <w:footnote w:id="12">
    <w:p w:rsidR="00AF71DD" w:rsidRPr="00F113C5" w:rsidRDefault="00AF71DD" w:rsidP="00C2300E">
      <w:pPr>
        <w:pStyle w:val="FootnoteText"/>
        <w:jc w:val="both"/>
        <w:rPr>
          <w:rFonts w:ascii="Garamond" w:hAnsi="Garamond" w:cstheme="majorBidi"/>
        </w:rPr>
      </w:pPr>
      <w:r w:rsidRPr="00F113C5">
        <w:rPr>
          <w:rFonts w:ascii="Garamond" w:hAnsi="Garamond" w:cstheme="majorBidi"/>
        </w:rPr>
        <w:tab/>
      </w:r>
      <w:r w:rsidRPr="00F113C5">
        <w:rPr>
          <w:rStyle w:val="FootnoteReference"/>
          <w:rFonts w:ascii="Garamond" w:hAnsi="Garamond" w:cstheme="majorBidi"/>
        </w:rPr>
        <w:footnoteRef/>
      </w:r>
      <w:r w:rsidRPr="00F113C5">
        <w:rPr>
          <w:rFonts w:ascii="Garamond" w:hAnsi="Garamond" w:cstheme="majorBidi"/>
        </w:rPr>
        <w:t xml:space="preserve"> </w:t>
      </w:r>
      <w:r w:rsidRPr="00F113C5">
        <w:rPr>
          <w:rFonts w:ascii="Garamond" w:hAnsi="Garamond" w:cstheme="majorBidi"/>
        </w:rPr>
        <w:fldChar w:fldCharType="begin"/>
      </w:r>
      <w:r w:rsidRPr="00F113C5">
        <w:rPr>
          <w:rFonts w:ascii="Garamond" w:hAnsi="Garamond" w:cstheme="majorBidi"/>
        </w:rPr>
        <w:instrText xml:space="preserve"> ADDIN ZOTERO_ITEM CSL_CITATION {"citationID":"bipIfp5R","properties":{"formattedCitation":"Efa Rodiah Nur, Fathul Mu\\uc0\\u8217{}in, and Hamsidar Hamsidar, \\uc0\\u8216{}The Reconstruction of The Livelihood Concept from A Mub\\uc0\\u257{}dalah Perspective in Lampung Province\\uc0\\u8217{}, {\\i{}Samarah: Jurnal Hukum Keluarga Dan Hukum Islam}, 7.3 (2023), 1897 &lt;https://doi.org/10.22373/sjhk.v7i3.17613&gt;.","plainCitation":"Efa Rodiah Nur, Fathul Mu’in, and Hamsidar Hamsidar, ‘The Reconstruction of The Livelihood Concept from A Mubādalah Perspective in Lampung Province’, Samarah: Jurnal Hukum Keluarga Dan Hukum Islam, 7.3 (2023), 1897 &lt;https://doi.org/10.22373/sjhk.v7i3.17613&gt;.","noteIndex":17},"citationItems":[{"id":218,"uris":["http://zotero.org/users/local/agLgmyhT/items/TJ87F6I9"],"itemData":{"id":218,"type":"article-journal","abstract":"The laws and regulations in Indonesia exhibit gender bias, resulting in a rise in divorce cases within the Religious Courts. This can be attributed to the prevailing perception among women that the burden for sustaining livelihoods lies mostly with their husbands. This case pertains to the challenge of formulating legislation that effectively incorporates the notion of livelihood reconstruction while avoiding any gender biases. The objective of this study is to provide a re-evaluation of the notion of livelihood in order to facilitate the development of novel legal products that are more suited to meet contemporary demands. This is qualitative research, wherein data was collected from the Religious Courts in Lampung and subsequently examined through the use of the mubādalah theory. The present study has identified that the prevalence of divorce in Lampung may be attributed to the provisions outlined in Law no. 1 of 1974 and Compilation of Islamic Law (KHI). These legal provisions alone mandate husbands to provide financial support, hence leading to the increased occurrence of divorce. The implementation of these two legislation led to a notable rise of 34.25% in the occurrence of contested divorces within the Province of Lampung. This increase can be attributed to several grounds, including income-related issues accounting for 41.3%, disagreements and domestic violence contributing to 33.3%, and other miscellaneous variables comprising 28% of the overall increase. The promotion of family resilience entails the establishment of a symbiotic partnership between spouses, thereby reinforcing the husband-wife paradigm. This entails the implementation of rights and responsibilities, particularly in relation to income, to foster interdependence and mutual support within the marital union. The novelty of this study is in the ability of the idea of mubādalah to establish a connection between husbands and wives, enabling them to fulfil their respective rights and obligations, particularly in terms of partnership and mutual support within the context of cohabitation.","container-title":"Samarah: Jurnal Hukum Keluarga dan Hukum Islam","DOI":"10.22373/sjhk.v7i3.17613","ISSN":"2549-3167, 2549-3132","issue":"3","journalAbbreviation":"SAMARAH","page":"1897","source":"DOI.org (Crossref)","title":"The Reconstruction of The Livelihood Concept from A Mubādalah Perspective in Lampung Province","volume":"7","author":[{"family":"Nur","given":"Efa Rodiah"},{"family":"Mu’in","given":"Fathul"},{"family":"Hamsidar","given":"Hamsidar"}],"issued":{"date-parts":[["2023",11,30]]}}}],"schema":"https://github.com/citation-style-language/schema/raw/master/csl-citation.json"} </w:instrText>
      </w:r>
      <w:r w:rsidRPr="00F113C5">
        <w:rPr>
          <w:rFonts w:ascii="Garamond" w:hAnsi="Garamond" w:cstheme="majorBidi"/>
        </w:rPr>
        <w:fldChar w:fldCharType="separate"/>
      </w:r>
      <w:r w:rsidRPr="00F113C5">
        <w:rPr>
          <w:rFonts w:ascii="Garamond" w:hAnsi="Garamond" w:cstheme="majorBidi"/>
          <w:szCs w:val="24"/>
        </w:rPr>
        <w:t xml:space="preserve">Efa Rodiah Nur, Fathul Mu’in, and Hamsidar Hamsidar, ‘The Reconstruction of The Livelihood Concept from A Mubādalah Perspective in Lampung Province’, </w:t>
      </w:r>
      <w:r w:rsidRPr="00F113C5">
        <w:rPr>
          <w:rFonts w:ascii="Garamond" w:hAnsi="Garamond" w:cstheme="majorBidi"/>
          <w:i/>
          <w:iCs/>
          <w:szCs w:val="24"/>
        </w:rPr>
        <w:t>Samarah: Jurnal Hukum Keluarga Dan Hukum Islam</w:t>
      </w:r>
      <w:r w:rsidRPr="00F113C5">
        <w:rPr>
          <w:rFonts w:ascii="Garamond" w:hAnsi="Garamond" w:cstheme="majorBidi"/>
          <w:szCs w:val="24"/>
        </w:rPr>
        <w:t>, 7.3 (2023), 1897 &lt;https://doi.org/10.22373/sjhk.v7i3.17613&gt;.</w:t>
      </w:r>
      <w:r w:rsidRPr="00F113C5">
        <w:rPr>
          <w:rFonts w:ascii="Garamond" w:hAnsi="Garamond" w:cstheme="majorBidi"/>
        </w:rPr>
        <w:fldChar w:fldCharType="end"/>
      </w:r>
    </w:p>
  </w:footnote>
  <w:footnote w:id="13">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{"citationItems":[{"id":"ITEM-1","itemData":{"author":[{"dropping-particle":"","family":"Syaikh Muhammad bin Shalih al- ‘Utsaimin","given":"","non-dropping-particle":"","parse-names":false,"suffix":""}],"id":"ITEM-1","issued":{"date-parts":[["2008"]]},"number-of-pages":"6–7","publisher":"Pustaka Imam Asy-syafi’i","publisher-place":"Jakarta","title":"Panduan Wakaf, Hibah dan Wasiat","type":"book"},"locator":"6-7","uris":["http://www.mendeley.com/documents/?uuid=8eb4f136-4081-4bd0-9052-f206ac53522c"]}],"mendeley":{"formattedCitation":"Syaikh Muhammad bin Shalih al- ‘Utsaimin, &lt;i&gt;Panduan Wakaf, Hibah Dan Wasiat&lt;/i&gt; (Jakarta: Pustaka Imam Asy-syafi’i, 2008), pp. 6–7.","plainTextFormattedCitation":"Syaikh Muhammad bin Shalih al- ‘Utsaimin, Panduan Wakaf, Hibah Dan Wasiat (Jakarta: Pustaka Imam Asy-syafi’i, 2008), pp. 6–7.","previouslyFormattedCitation":"Syaikh Muhammad bin Shalih al- ‘Utsaimin, &lt;i&gt;Panduan Wakaf, Hibah Dan Wasiat&lt;/i&gt; (Jakarta: Pustaka Imam Asy-syafi’i, 2008), pp. 6–7."},"properties":{"noteIndex":7},"schema":"https://github.com/citation-style-language/schema/raw/master/csl-citation.json"}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Syaikh Muhammad bin Shalih al- ‘Utsaimin, </w:t>
      </w:r>
      <w:r w:rsidRPr="00F113C5">
        <w:rPr>
          <w:rFonts w:ascii="Garamond" w:hAnsi="Garamond" w:cs="Times New Roman"/>
          <w:bCs/>
          <w:i/>
          <w:noProof/>
          <w:lang w:val="en-US"/>
        </w:rPr>
        <w:t>Panduan Wakaf, Hibah Dan Wasiat</w:t>
      </w:r>
      <w:r w:rsidRPr="00F113C5">
        <w:rPr>
          <w:rFonts w:ascii="Garamond" w:hAnsi="Garamond" w:cs="Times New Roman"/>
          <w:bCs/>
          <w:noProof/>
          <w:lang w:val="en-US"/>
        </w:rPr>
        <w:t xml:space="preserve"> (Jakarta: Pustaka Imam Asy-syafi’i, 2008), pp. 6–7.</w:t>
      </w:r>
      <w:r w:rsidRPr="00F113C5">
        <w:rPr>
          <w:rFonts w:ascii="Garamond" w:hAnsi="Garamond" w:cs="Times New Roman"/>
        </w:rPr>
        <w:fldChar w:fldCharType="end"/>
      </w:r>
    </w:p>
  </w:footnote>
  <w:footnote w:id="14">
    <w:p w:rsidR="00AF71DD" w:rsidRPr="00F113C5" w:rsidRDefault="00AF71DD" w:rsidP="00C2300E">
      <w:pPr>
        <w:pStyle w:val="FootnoteText"/>
        <w:ind w:firstLine="720"/>
        <w:jc w:val="both"/>
        <w:rPr>
          <w:rFonts w:ascii="Garamond" w:hAnsi="Garamond" w:cs="Times New Roman"/>
        </w:rPr>
      </w:pPr>
      <w:r w:rsidRPr="00F113C5">
        <w:rPr>
          <w:rStyle w:val="FootnoteReference"/>
          <w:rFonts w:ascii="Garamond" w:hAnsi="Garamond" w:cs="Times New Roman"/>
        </w:rPr>
        <w:footnoteRef/>
      </w:r>
      <w:r w:rsidRPr="00F113C5">
        <w:rPr>
          <w:rFonts w:ascii="Garamond" w:hAnsi="Garamond" w:cs="Times New Roman"/>
        </w:rPr>
        <w:t xml:space="preserve">  Undang- Undang Nomor 41 Tahun 2004 tentang Wakaf</w:t>
      </w:r>
    </w:p>
  </w:footnote>
  <w:footnote w:id="15">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{"citationItems":[{"id":"ITEM-1","itemData":{"author":[{"dropping-particle":"","family":"Departemen Agama RI","given":"","non-dropping-particle":"","parse-names":false,"suffix":""}],"id":"ITEM-1","issued":{"date-parts":[["2014"]]},"number-of-pages":"97","publisher":"Direktorat Pemberdayaan Wakaf","publisher-place":"Jakarta","title":"Paradigma Baru Wakaf di Indonesia","type":"book"},"locator":"97","uris":["http://www.mendeley.com/documents/?uuid=43c41472-720f-4bb0-9805-a5185be824bd"]}],"mendeley":{"formattedCitation":"Departemen Agama RI, &lt;i&gt;Paradigma Baru Wakaf Di Indonesia&lt;/i&gt; (Jakarta: Direktorat Pemberdayaan Wakaf, 2014), p. 97.","plainTextFormattedCitation":"Departemen Agama RI, Paradigma Baru Wakaf Di Indonesia (Jakarta: Direktorat Pemberdayaan Wakaf, 2014), p. 97.","previouslyFormattedCitation":"Departemen Agama RI, &lt;i&gt;Paradigma Baru Wakaf Di Indonesia&lt;/i&gt; (Jakarta: Direktorat Pemberdayaan Wakaf, 2014), p. 97."},"properties":{"noteIndex":9},"schema":"https://github.com/citation-style-language/schema/raw/master/csl-citation.json"}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Departemen Agama RI, </w:t>
      </w:r>
      <w:r w:rsidRPr="00F113C5">
        <w:rPr>
          <w:rFonts w:ascii="Garamond" w:hAnsi="Garamond" w:cs="Times New Roman"/>
          <w:bCs/>
          <w:i/>
          <w:noProof/>
          <w:lang w:val="en-US"/>
        </w:rPr>
        <w:t>Paradigma Baru Wakaf Di Indonesia</w:t>
      </w:r>
      <w:r w:rsidRPr="00F113C5">
        <w:rPr>
          <w:rFonts w:ascii="Garamond" w:hAnsi="Garamond" w:cs="Times New Roman"/>
          <w:bCs/>
          <w:noProof/>
          <w:lang w:val="en-US"/>
        </w:rPr>
        <w:t xml:space="preserve"> (Jakarta: Direktorat Pemberdayaan Wakaf, 2014), p. 97.</w:t>
      </w:r>
      <w:r w:rsidRPr="00F113C5">
        <w:rPr>
          <w:rFonts w:ascii="Garamond" w:hAnsi="Garamond" w:cs="Times New Roman"/>
        </w:rPr>
        <w:fldChar w:fldCharType="end"/>
      </w:r>
    </w:p>
  </w:footnote>
  <w:footnote w:id="16">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{"citationItems":[{"id":"ITEM-1","itemData":{"author":[{"dropping-particle":"","family":"Rahman","given":"Ghazali Abdul","non-dropping-particle":"","parse-names":false,"suffix":""}],"id":"ITEM-1","issued":{"date-parts":[["2010"]]},"number-of-pages":"176","publisher":"Kencana Prenada media group","publisher-place":"Jakarta","title":"Fiqih Muamalat","type":"book"},"locator":"176","uris":["http://www.mendeley.com/documents/?uuid=5cdf586a-ab77-4080-9add-632f44a9bca7"]}],"mendeley":{"formattedCitation":"Ghazali Abdul Rahman, &lt;i&gt;Fiqih Muamalat&lt;/i&gt; (Jakarta: Kencana Prenada media group, 2010), p. 176.","plainTextFormattedCitation":"Ghazali Abdul Rahman, Fiqih Muamalat (Jakarta: Kencana Prenada media group, 2010), p. 176.","previouslyFormattedCitation":"Ghazali Abdul Rahman, &lt;i&gt;Fiqih Muamalat&lt;/i&gt; (Jakarta: Kencana Prenada media group, 2010), p. 176."},"properties":{"noteIndex":10},"schema":"https://github.com/citation-style-language/schema/raw/master/csl-citation.json"}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Ghazali Abdul Rahman, </w:t>
      </w:r>
      <w:r w:rsidRPr="00F113C5">
        <w:rPr>
          <w:rFonts w:ascii="Garamond" w:hAnsi="Garamond" w:cs="Times New Roman"/>
          <w:i/>
          <w:noProof/>
        </w:rPr>
        <w:t>Fiqih Muamalat</w:t>
      </w:r>
      <w:r w:rsidRPr="00F113C5">
        <w:rPr>
          <w:rFonts w:ascii="Garamond" w:hAnsi="Garamond" w:cs="Times New Roman"/>
          <w:noProof/>
        </w:rPr>
        <w:t xml:space="preserve"> (Jakarta: Kencana Prenada media group, 2010), p. 176.</w:t>
      </w:r>
      <w:r w:rsidRPr="00F113C5">
        <w:rPr>
          <w:rFonts w:ascii="Garamond" w:hAnsi="Garamond" w:cs="Times New Roman"/>
        </w:rPr>
        <w:fldChar w:fldCharType="end"/>
      </w:r>
    </w:p>
  </w:footnote>
  <w:footnote w:id="17">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{"citationItems":[{"id":"ITEM-1","itemData":{"ISSN":"13087800","abstract":"This study is undertaken to determine the ability of Waqf institutions toward influencing Waqif’s trust and commitment. The stakeholder trust model for Waqf institution proposed by Hasan &amp; Siraj (2017) was empirically tested with a sample of fifty-four Waqifs of public Waqf institution in Bangladesh. Results from Structural Equation Modeling (SEM) using Smart PLS 3.0 provided statistical validity of the model. Among the three components of board attributes, only board integrity has a statistically non-significant impact on Waqif’s Trust. While board opportunism negatively affects trust, communication and accountability are found to have a positive association with Waqif’s trust. Trust is also found to have a positive impact on commitment. The established model does not consider social, economic and psychological dimensions that might determine Waqif’s trust and commitment toward public Waqf institutions. Results provided by the study will allow policy makers to focus on key issues that facilitate in developing trust and commitment between Waqif and Waqf institution. This study is the first to empirically test the commitment-trust theory in the context of Waqf operating in a South-East Asian country using Structural Equation Modelling technique.","author":[{"dropping-particle":"","family":"Hasan","given":"Rashedul","non-dropping-particle":"","parse-names":false,"suffix":""},{"dropping-particle":"","family":"Siraj","given":"Siti Alawiah","non-dropping-particle":"","parse-names":false,"suffix":""},{"dropping-particle":"","family":"Mohamad","given":"Muslim Har Sani","non-dropping-particle":"","parse-names":false,"suffix":""}],"container-title":"Journal of Economic Cooperation and Development","id":"ITEM-1","issue":"4","issued":{"date-parts":[["2017"]]},"page":"155-179","title":"Antecedents and outcome of Waqif’s trust in Waqf institution","type":"article-journal","volume":"38"},"uris":["http://www.mendeley.com/documents/?uuid=d51e266a-530f-4527-aa2a-e8e851bb4a9b"]}],"mendeley":{"formattedCitation":"Rashedul Hasan, Siti Alawiah Siraj, and Muslim Har Sani Mohamad, ‘Antecedents and Outcome of Waqif’s Trust in Waqf Institution’, &lt;i&gt;Journal of Economic Cooperation and Development&lt;/i&gt;, 38.4 (2017), 155–79.","plainTextFormattedCitation":"Rashedul Hasan, Siti Alawiah Siraj, and Muslim Har Sani Mohamad, ‘Antecedents and Outcome of Waqif’s Trust in Waqf Institution’, Journal of Economic Cooperation and Development, 38.4 (2017), 155–79.","previouslyFormattedCitation":"Rashedul Hasan, Siti Alawiah Siraj, and Muslim Har Sani Mohamad, ‘Antecedents and Outcome of Waqif’s Trust in Waqf Institution’, &lt;i&gt;Journal of Economic Cooperation and Development&lt;/i&gt;, 38.4 (2017), 155–79."},"properties":{"noteIndex":11},"schema":"https://github.com/citation-style-language/schema/raw/master/csl-citation.json"}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Rashedul Hasan, Siti Alawiah Siraj, and Muslim Har Sani Mohamad, ‘Antecedents and Outcome of Waqif’s Trust in Waqf Institution’, </w:t>
      </w:r>
      <w:r w:rsidRPr="00F113C5">
        <w:rPr>
          <w:rFonts w:ascii="Garamond" w:hAnsi="Garamond" w:cs="Times New Roman"/>
          <w:i/>
          <w:noProof/>
        </w:rPr>
        <w:t>Journal of Economic Cooperation and Development</w:t>
      </w:r>
      <w:r w:rsidRPr="00F113C5">
        <w:rPr>
          <w:rFonts w:ascii="Garamond" w:hAnsi="Garamond" w:cs="Times New Roman"/>
          <w:noProof/>
        </w:rPr>
        <w:t>, 38.4 (2017), 155–79.</w:t>
      </w:r>
      <w:r w:rsidRPr="00F113C5">
        <w:rPr>
          <w:rFonts w:ascii="Garamond" w:hAnsi="Garamond" w:cs="Times New Roman"/>
        </w:rPr>
        <w:fldChar w:fldCharType="end"/>
      </w:r>
    </w:p>
  </w:footnote>
  <w:footnote w:id="18">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{"citationItems":[{"id":"ITEM-1","itemData":{"author":[{"dropping-particle":"","family":"Khairuddin","given":"","non-dropping-particle":"","parse-names":false,"suffix":""}],"id":"ITEM-1","issued":{"date-parts":[["2014"]]},"note":"Nomor 01 tahun 2014, h.135 dalam","publisher":"Jurnal Al-Adalah Fakultas Syariah U.I.N.Raden Intan Lampung","title":"Pergeseran Paradigma Pengaturan Wakaf Dalam Perspektif Hukum Progresif","type":"article","volume":"12"},"locator":"135","uris":["http://www.mendeley.com/documents/?uuid=a07a5e0e-522f-4bad-a8a4-4d24df55913e"]}],"mendeley":{"formattedCitation":"Khairuddin, ‘Pergeseran Paradigma Pengaturan Wakaf Dalam Perspektif Hukum Progresif’ (Jurnal Al-Adalah Fakultas Syariah U.I.N.Raden Intan Lampung, 2014), p. 135 &lt;http://ejournal.radenintan.ac.id/index.php/adalah/article/view/180/420&gt;.","plainTextFormattedCitation":"Khairuddin, ‘Pergeseran Paradigma Pengaturan Wakaf Dalam Perspektif Hukum Progresif’ (Jurnal Al-Adalah Fakultas Syariah U.I.N.Raden Intan Lampung, 2014), p. 135 .","previouslyFormattedCitation":"Khairuddin, ‘Pergeseran Paradigma Pengaturan Wakaf Dalam Perspektif Hukum Progresif’ (Jurnal Al-Adalah Fakultas Syariah U.I.N.Raden Intan Lampung, 2014), p. 135 &lt;http://ejournal.radenintan.ac.id/index.php/adalah/article/view/180/420&gt;."},"properties":{"noteIndex":12},"schema":"https://github.com/citation-style-language/schema/raw/master/csl-citation.json"}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Khairuddin, ‘Pergeseran Paradigma Pengaturan Wakaf Dalam Perspektif Hukum Progresif’ (Jurnal Al-Adalah Fakultas Syariah U.I.N.Raden Intan Lampung, 2014), p. 135 &lt;http://ejournal.radenintan.ac.id/index.php/adalah/article/view/180/420&gt;.</w:t>
      </w:r>
      <w:r w:rsidRPr="00F113C5">
        <w:rPr>
          <w:rFonts w:ascii="Garamond" w:hAnsi="Garamond" w:cs="Times New Roman"/>
        </w:rPr>
        <w:fldChar w:fldCharType="end"/>
      </w:r>
    </w:p>
  </w:footnote>
  <w:footnote w:id="19">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{"citationItems":[{"id":"ITEM-1","itemData":{"author":[{"dropping-particle":"","family":"Zainal","given":"Veithzal Rivai","non-dropping-particle":"","parse-names":false,"suffix":""}],"container-title":"Al-Awqaf: Jurnal Wakaf dan Ekonomi Islam","id":"ITEM-1","issue":"1","issued":{"date-parts":[["2016"]]},"page":"2","title":"Pengelolaan dan Pengembangan Wakaf Produktif’","type":"article-journal","volume":"9"},"uris":["http://www.mendeley.com/documents/?uuid=6bf4fca5-2bf0-4a51-a329-73b9eab65654"]}],"mendeley":{"formattedCitation":"Veithzal Rivai Zainal, ‘Pengelolaan Dan Pengembangan Wakaf Produktif’’, &lt;i&gt;Al-Awqaf: Jurnal Wakaf Dan Ekonomi Islam&lt;/i&gt;, 9.1 (2016), 2.","plainTextFormattedCitation":"Veithzal Rivai Zainal, ‘Pengelolaan Dan Pengembangan Wakaf Produktif’’, Al-Awqaf: Jurnal Wakaf Dan Ekonomi Islam, 9.1 (2016), 2.","previouslyFormattedCitation":"Veithzal Rivai Zainal, ‘Pengelolaan Dan Pengembangan Wakaf Produktif’’, &lt;i&gt;Al-Awqaf: Jurnal Wakaf Dan Ekonomi Islam&lt;/i&gt;, 9.1 (2016), 2."},"properties":{"noteIndex":13},"schema":"https://github.com/citation-style-language/schema/raw/master/csl-citation.json"}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Veithzal Rivai Zainal, ‘Pengelolaan Dan Pengembangan Wakaf Produktif’’, </w:t>
      </w:r>
      <w:r w:rsidRPr="00F113C5">
        <w:rPr>
          <w:rFonts w:ascii="Garamond" w:hAnsi="Garamond" w:cs="Times New Roman"/>
          <w:i/>
          <w:noProof/>
        </w:rPr>
        <w:t>Al-Awqaf: Jurnal Wakaf Dan Ekonomi Islam</w:t>
      </w:r>
      <w:r w:rsidRPr="00F113C5">
        <w:rPr>
          <w:rFonts w:ascii="Garamond" w:hAnsi="Garamond" w:cs="Times New Roman"/>
          <w:noProof/>
        </w:rPr>
        <w:t>, 9.1 (2016), 2.</w:t>
      </w:r>
      <w:r w:rsidRPr="00F113C5">
        <w:rPr>
          <w:rFonts w:ascii="Garamond" w:hAnsi="Garamond" w:cs="Times New Roman"/>
        </w:rPr>
        <w:fldChar w:fldCharType="end"/>
      </w:r>
    </w:p>
  </w:footnote>
  <w:footnote w:id="20">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{"citationItems":[{"id":"ITEM-1","itemData":{"author":[{"dropping-particle":"","family":"Kencana","given":"Ulya","non-dropping-particle":"","parse-names":false,"suffix":""}],"container-title":"Jurnal Al-Awqaf","id":"ITEM-1","issue":"Nomor 1","issued":{"date-parts":[["2018"]]},"note":"tahun 2018, h. 1, dalam","page":"1","title":"Peralihan Status Harta Benda Wakaf Dalam Perspektif Hukum Pada Masyarakat Sumatera Selatan","type":"article-journal","volume":"11"},"uris":["http://www.mendeley.com/documents/?uuid=954f35b5-7870-4403-a887-358a836ef387"]}],"mendeley":{"formattedCitation":"Ulya Kencana, ‘Peralihan Status Harta Benda Wakaf Dalam Perspektif Hukum Pada Masyarakat Sumatera Selatan’, &lt;i&gt;Jurnal Al-Awqaf&lt;/i&gt;, 11.Nomor 1 (2018), 1 &lt;https://www.jurnal.bwi.go.id/index.php/awqaf/article/view/25&gt;.","plainTextFormattedCitation":"Ulya Kencana, ‘Peralihan Status Harta Benda Wakaf Dalam Perspektif Hukum Pada Masyarakat Sumatera Selatan’, Jurnal Al-Awqaf, 11.Nomor 1 (2018), 1 .","previouslyFormattedCitation":"Ulya Kencana, ‘Peralihan Status Harta Benda Wakaf Dalam Perspektif Hukum Pada Masyarakat Sumatera Selatan’, &lt;i&gt;Jurnal Al-Awqaf&lt;/i&gt;, 11.Nomor 1 (2018), 1 &lt;https://www.jurnal.bwi.go.id/index.php/awqaf/article/view/25&gt;."},"properties":{"noteIndex":14},"schema":"https://github.com/citation-style-language/schema/raw/master/csl-citation.json"}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Ulya Kencana, ‘Peralihan Status Harta Benda Wakaf Dalam Perspektif Hukum Pada Masyarakat Sumatera Selatan’, </w:t>
      </w:r>
      <w:r w:rsidRPr="00F113C5">
        <w:rPr>
          <w:rFonts w:ascii="Garamond" w:hAnsi="Garamond" w:cs="Times New Roman"/>
          <w:i/>
          <w:noProof/>
        </w:rPr>
        <w:t>Jurnal Al-Awqaf</w:t>
      </w:r>
      <w:r w:rsidRPr="00F113C5">
        <w:rPr>
          <w:rFonts w:ascii="Garamond" w:hAnsi="Garamond" w:cs="Times New Roman"/>
          <w:noProof/>
        </w:rPr>
        <w:t>, 11.Nomor 1 (2018), 1 &lt;https://www.jurnal.bwi.go.id/index.php/awqaf/article/view/25&gt;.</w:t>
      </w:r>
      <w:r w:rsidRPr="00F113C5">
        <w:rPr>
          <w:rFonts w:ascii="Garamond" w:hAnsi="Garamond" w:cs="Times New Roman"/>
        </w:rPr>
        <w:fldChar w:fldCharType="end"/>
      </w:r>
    </w:p>
  </w:footnote>
  <w:footnote w:id="21">
    <w:p w:rsidR="00AF71DD" w:rsidRPr="00F113C5" w:rsidRDefault="00AF71DD"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{"citationItems":[{"id":"ITEM-1","itemData":{"author":[{"dropping-particle":"","family":"Ardy","given":"Muhammad Beni","non-dropping-particle":"","parse-names":false,"suffix":""}],"id":"ITEM-1","issue":"1","issued":{"date-parts":[["2021"]]},"note":"Jurnal Jurnal Intelektualita: Keislaman, Sosial, dan Sains","publisher":"Jurnal Intelektualita: Keislaman, Sosial, dan Sains Vol. 10 No. 1","title":"Analisis SWOT terhadap Wakaf Tunai di Badan Wakaf Indonesia Provinsi Sumatera Selatan","type":"article","volume":"10"},"uris":["http://www.mendeley.com/documents/?uuid=a64d6ac5-70ef-47c3-b5b4-7ee31b1cd849"]}],"mendeley":{"formattedCitation":"Muhammad Beni Ardy, ‘Analisis SWOT Terhadap Wakaf Tunai Di Badan Wakaf Indonesia Provinsi Sumatera Selatan’ (Jurnal Intelektualita: Keislaman, Sosial, dan Sains Vol. 10 No. 1, 2021).","plainTextFormattedCitation":"Muhammad Beni Ardy, ‘Analisis SWOT Terhadap Wakaf Tunai Di Badan Wakaf Indonesia Provinsi Sumatera Selatan’ (Jurnal Intelektualita: Keislaman, Sosial, dan Sains Vol. 10 No. 1, 2021).","previouslyFormattedCitation":"Muhammad Beni Ardy, ‘Analisis SWOT Terhadap Wakaf Tunai Di Badan Wakaf Indonesia Provinsi Sumatera Selatan’ (Jurnal Intelektualita: Keislaman, Sosial, dan Sains Vol. 10 No. 1, 2021)."},"properties":{"noteIndex":15},"schema":"https://github.com/citation-style-language/schema/raw/master/csl-citation.json"}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Muhammad Beni Ardy, ‘Analisis SWOT Terhadap Wakaf Tunai Di Badan Wakaf Indonesia Provinsi Sumatera Selatan’ (Jurnal Intelektualita: Keislaman, Sosial, dan Sains Vol. 10 No. 1, 2021).</w:t>
      </w:r>
      <w:r w:rsidRPr="00F113C5">
        <w:rPr>
          <w:rFonts w:ascii="Garamond" w:hAnsi="Garamond" w:cs="Times New Roman"/>
        </w:rPr>
        <w:fldChar w:fldCharType="end"/>
      </w:r>
    </w:p>
  </w:footnote>
  <w:footnote w:id="22">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{"citationItems":[{"id":"ITEM-1","itemData":{"author":[{"dropping-particle":"","family":"Suparaman","given":"Usman","non-dropping-particle":"","parse-names":false,"suffix":""}],"id":"ITEM-1","issued":{"date-parts":[["1993"]]},"number-of-pages":"2","publisher":"Darul Ulum Press","publisher-place":"Jakarta","title":"Hukum Perwakafan di Indonesia","type":"book"},"locator":"23","uris":["http://www.mendeley.com/documents/?uuid=90ded1d4-d223-4bbb-89cb-8d963528dbcb"]}],"mendeley":{"formattedCitation":"Usman Suparaman, &lt;i&gt;Hukum Perwakafan Di Indonesia&lt;/i&gt; (Jakarta: Darul Ulum Press, 1993), p. 23.","plainTextFormattedCitation":"Usman Suparaman, Hukum Perwakafan Di Indonesia (Jakarta: Darul Ulum Press, 1993), p. 23.","previouslyFormattedCitation":"Usman Suparaman, &lt;i&gt;Hukum Perwakafan Di Indonesia&lt;/i&gt; (Jakarta: Darul Ulum Press, 1993), p. 23."},"properties":{"noteIndex":20},"schema":"https://github.com/citation-style-language/schema/raw/master/csl-citation.json"}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Usman Suparaman, </w:t>
      </w:r>
      <w:r w:rsidRPr="00F113C5">
        <w:rPr>
          <w:rFonts w:ascii="Garamond" w:hAnsi="Garamond" w:cs="Times New Roman"/>
          <w:bCs/>
          <w:i/>
          <w:noProof/>
          <w:lang w:val="en-US"/>
        </w:rPr>
        <w:t>Hukum Perwakafan Di Indonesia</w:t>
      </w:r>
      <w:r w:rsidRPr="00F113C5">
        <w:rPr>
          <w:rFonts w:ascii="Garamond" w:hAnsi="Garamond" w:cs="Times New Roman"/>
          <w:bCs/>
          <w:noProof/>
          <w:lang w:val="en-US"/>
        </w:rPr>
        <w:t xml:space="preserve"> (Jakarta: Darul Ulum Press, 1993), p. 23.</w:t>
      </w:r>
      <w:r w:rsidRPr="00F113C5">
        <w:rPr>
          <w:rFonts w:ascii="Garamond" w:hAnsi="Garamond" w:cs="Times New Roman"/>
        </w:rPr>
        <w:fldChar w:fldCharType="end"/>
      </w:r>
    </w:p>
  </w:footnote>
  <w:footnote w:id="23">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{"citationItems":[{"id":"ITEM-1","itemData":{"author":[{"dropping-particle":"","family":"Dewan Redaksi Ensiklopedia Islam","given":"","non-dropping-particle":"","parse-names":false,"suffix":""}],"id":"ITEM-1","issued":{"date-parts":[["1997"]]},"number-of-pages":"168","publisher":"Ichtiar Baru Van Hoeve","publisher-place":"Jakarta","title":"Ensiklopedia Islam, Jilid 5","type":"book"},"locator":"168","uris":["http://www.mendeley.com/documents/?uuid=7236ef2c-abce-4f9e-9b8f-237bbc0d21d0"]}],"mendeley":{"formattedCitation":"Dewan Redaksi Ensiklopedia Islam, &lt;i&gt;Ensiklopedia Islam, Jilid 5&lt;/i&gt; (Jakarta: Ichtiar Baru Van Hoeve, 1997), p. 168.","plainTextFormattedCitation":"Dewan Redaksi Ensiklopedia Islam, Ensiklopedia Islam, Jilid 5 (Jakarta: Ichtiar Baru Van Hoeve, 1997), p. 168.","previouslyFormattedCitation":"Dewan Redaksi Ensiklopedia Islam, &lt;i&gt;Ensiklopedia Islam, Jilid 5&lt;/i&gt; (Jakarta: Ichtiar Baru Van Hoeve, 1997), p. 168."},"properties":{"noteIndex":21},"schema":"https://github.com/citation-style-language/schema/raw/master/csl-citation.json"}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Dewan Redaksi Ensiklopedia Islam, </w:t>
      </w:r>
      <w:r w:rsidRPr="00F113C5">
        <w:rPr>
          <w:rFonts w:ascii="Garamond" w:hAnsi="Garamond" w:cs="Times New Roman"/>
          <w:i/>
          <w:noProof/>
        </w:rPr>
        <w:t>Ensiklopedia Islam, Jilid 5</w:t>
      </w:r>
      <w:r w:rsidRPr="00F113C5">
        <w:rPr>
          <w:rFonts w:ascii="Garamond" w:hAnsi="Garamond" w:cs="Times New Roman"/>
          <w:noProof/>
        </w:rPr>
        <w:t xml:space="preserve"> (Jakarta: Ichtiar Baru Van Hoeve, 1997), p. 168.</w:t>
      </w:r>
      <w:r w:rsidRPr="00F113C5">
        <w:rPr>
          <w:rFonts w:ascii="Garamond" w:hAnsi="Garamond" w:cs="Times New Roman"/>
        </w:rPr>
        <w:fldChar w:fldCharType="end"/>
      </w:r>
    </w:p>
  </w:footnote>
  <w:footnote w:id="24">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{"citationItems":[{"id":"ITEM-1","itemData":{"author":[{"dropping-particle":"","family":"Abi Yahya Zakariya Al-Anshari","given":"","non-dropping-particle":"","parse-names":false,"suffix":""}],"id":"ITEM-1","issued":{"date-parts":[["1989"]]},"number-of-pages":"256","publisher":"Daru Ihya’i Al Kuu Al Arabiyah","publisher-place":"Indonesia","title":"Fathu Al Wahab,Juz I","type":"book"},"locator":"256","uris":["http://www.mendeley.com/documents/?uuid=9ec4bee4-5cbc-4376-b870-da5a2bb70049"]}],"mendeley":{"formattedCitation":"Abi Yahya Zakariya Al-Anshari, &lt;i&gt;Fathu Al Wahab,Juz I&lt;/i&gt; (Indonesia: Daru Ihya’i Al Kuu Al Arabiyah, 1989), p. 256.","plainTextFormattedCitation":"Abi Yahya Zakariya Al-Anshari, Fathu Al Wahab,Juz I (Indonesia: Daru Ihya’i Al Kuu Al Arabiyah, 1989), p. 256.","previouslyFormattedCitation":"Abi Yahya Zakariya Al-Anshari, &lt;i&gt;Fathu Al Wahab,Juz I&lt;/i&gt; (Indonesia: Daru Ihya’i Al Kuu Al Arabiyah, 1989), p. 256."},"properties":{"noteIndex":22},"schema":"https://github.com/citation-style-language/schema/raw/master/csl-citation.json"}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Abi Yahya Zakariya Al-Anshari, </w:t>
      </w:r>
      <w:r w:rsidRPr="00F113C5">
        <w:rPr>
          <w:rFonts w:ascii="Garamond" w:hAnsi="Garamond" w:cs="Times New Roman"/>
          <w:i/>
          <w:noProof/>
        </w:rPr>
        <w:t>Fathu Al Wahab,Juz I</w:t>
      </w:r>
      <w:r w:rsidRPr="00F113C5">
        <w:rPr>
          <w:rFonts w:ascii="Garamond" w:hAnsi="Garamond" w:cs="Times New Roman"/>
          <w:noProof/>
        </w:rPr>
        <w:t xml:space="preserve"> (Indonesia: Daru Ihya’i Al Kuu Al Arabiyah, 1989), p. 256.</w:t>
      </w:r>
      <w:r w:rsidRPr="00F113C5">
        <w:rPr>
          <w:rFonts w:ascii="Garamond" w:hAnsi="Garamond" w:cs="Times New Roman"/>
        </w:rPr>
        <w:fldChar w:fldCharType="end"/>
      </w:r>
    </w:p>
  </w:footnote>
  <w:footnote w:id="25">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Abdurrahman","given":"","non-dropping-particle":"","parse-names":false,"suffix":""}],"id":"ITEM-1","issued":{"date-parts":[["1984"]]},"number-of-pages":"3","publisher":"Alumni","publisher-place":"Bandung","title":"Masalah Perwakafan Tanah Milik dan Kedudukan Tanah Wakaf di Negara Kita","type":"book"},"locator":"3","uris":["http://www.mendeley.com/documents/?uuid=2df4bb42-3eec-48cc-ae26-def909cb3538"]}],"mendeley":{"formattedCitation":"Abdurrahman, &lt;i&gt;Masalah Perwakafan Tanah Milik Dan Kedudukan Tanah Wakaf Di Negara Kita&lt;/i&gt; (Bandung: Alumni, 1984), p. 3.","plainTextFormattedCitation":"Abdurrahman, Masalah Perwakafan Tanah Milik Dan Kedudukan Tanah Wakaf Di Negara Kita (Bandung: Alumni, 1984), p. 3.","previouslyFormattedCitation":"Abdurrahman, &lt;i&gt;Masalah Perwakafan Tanah Milik Dan Kedudukan Tanah Wakaf Di Negara Kita&lt;/i&gt; (Bandung: Alumni, 1984), p. 3."},"properties":{"noteIndex":23},"schema":"https://github.com/citation-style-language/schema/raw/master/csl-citation.json"}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Abdurrahman, </w:t>
      </w:r>
      <w:r w:rsidRPr="00F113C5">
        <w:rPr>
          <w:rFonts w:ascii="Garamond" w:hAnsi="Garamond" w:cs="Times New Roman"/>
          <w:bCs/>
          <w:i/>
          <w:noProof/>
          <w:lang w:val="en-US"/>
        </w:rPr>
        <w:t>Masalah Perwakafan Tanah Milik Dan Kedudukan Tanah Wakaf Di Negara Kita</w:t>
      </w:r>
      <w:r w:rsidRPr="00F113C5">
        <w:rPr>
          <w:rFonts w:ascii="Garamond" w:hAnsi="Garamond" w:cs="Times New Roman"/>
          <w:bCs/>
          <w:noProof/>
          <w:lang w:val="en-US"/>
        </w:rPr>
        <w:t xml:space="preserve"> (Bandung: Alumni, 1984), p. 3.</w:t>
      </w:r>
      <w:r w:rsidRPr="00F113C5">
        <w:rPr>
          <w:rFonts w:ascii="Garamond" w:hAnsi="Garamond" w:cs="Times New Roman"/>
        </w:rPr>
        <w:fldChar w:fldCharType="end"/>
      </w:r>
    </w:p>
  </w:footnote>
  <w:footnote w:id="26">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{"citationItems":[{"id":"ITEM-1","itemData":{"author":[{"dropping-particle":"","family":"Attoillah","given":"M","non-dropping-particle":"","parse-names":false,"suffix":""}],"id":"ITEM-1","issued":{"date-parts":[["2014"]]},"number-of-pages":"7","publisher":"Yrama Widya","publisher-place":"Bandung","title":"Hukum Wakaf, Cetakan Pertama","type":"book"},"locator":"7","uris":["http://www.mendeley.com/documents/?uuid=916c9666-e439-4b6b-9674-6cd54575ebf6"]}],"mendeley":{"formattedCitation":"M Attoillah, &lt;i&gt;Hukum Wakaf, Cetakan Pertama&lt;/i&gt; (Bandung: Yrama Widya, 2014), p. 7.","plainTextFormattedCitation":"M Attoillah, Hukum Wakaf, Cetakan Pertama (Bandung: Yrama Widya, 2014), p. 7.","previouslyFormattedCitation":"M Attoillah, &lt;i&gt;Hukum Wakaf, Cetakan Pertama&lt;/i&gt; (Bandung: Yrama Widya, 2014), p. 7."},"properties":{"noteIndex":24},"schema":"https://github.com/citation-style-language/schema/raw/master/csl-citation.json"}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M Attoillah, </w:t>
      </w:r>
      <w:r w:rsidRPr="00F113C5">
        <w:rPr>
          <w:rFonts w:ascii="Garamond" w:hAnsi="Garamond" w:cs="Times New Roman"/>
          <w:bCs/>
          <w:i/>
          <w:noProof/>
          <w:lang w:val="en-US"/>
        </w:rPr>
        <w:t>Hukum Wakaf, Cetakan Pertama</w:t>
      </w:r>
      <w:r w:rsidRPr="00F113C5">
        <w:rPr>
          <w:rFonts w:ascii="Garamond" w:hAnsi="Garamond" w:cs="Times New Roman"/>
          <w:bCs/>
          <w:noProof/>
          <w:lang w:val="en-US"/>
        </w:rPr>
        <w:t xml:space="preserve"> (Bandung: Yrama Widya, 2014), p. 7.</w:t>
      </w:r>
      <w:r w:rsidRPr="00F113C5">
        <w:rPr>
          <w:rFonts w:ascii="Garamond" w:hAnsi="Garamond" w:cs="Times New Roman"/>
        </w:rPr>
        <w:fldChar w:fldCharType="end"/>
      </w:r>
    </w:p>
  </w:footnote>
  <w:footnote w:id="27">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{"citationItems":[{"id":"ITEM-1","itemData":{"author":[{"dropping-particle":"","family":"Departemen Agama RI","given":"","non-dropping-particle":"","parse-names":false,"suffix":""}],"id":"ITEM-1","issued":{"date-parts":[["2014"]]},"publisher":"Direktorat Pemberdaya Wakaf","publisher-place":"Jakarta","title":"Paradigma Baru Wakaf di Indonesia","type":"book"},"locator":"7","uris":["http://www.mendeley.com/documents/?uuid=00cffc83-0fac-4580-af0d-9c52d8426252"]}],"mendeley":{"formattedCitation":"Departemen Agama RI, &lt;i&gt;Paradigma Baru Wakaf Di Indonesia&lt;/i&gt; (Jakarta: Direktorat Pemberdaya Wakaf, 2014), p. 7.","plainTextFormattedCitation":"Departemen Agama RI, Paradigma Baru Wakaf Di Indonesia (Jakarta: Direktorat Pemberdaya Wakaf, 2014), p. 7.","previouslyFormattedCitation":"Departemen Agama RI, &lt;i&gt;Paradigma Baru Wakaf Di Indonesia&lt;/i&gt; (Jakarta: Direktorat Pemberdaya Wakaf, 2014), p. 7."},"properties":{"noteIndex":25},"schema":"https://github.com/citation-style-language/schema/raw/master/csl-citation.json"}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Departemen Agama RI, </w:t>
      </w:r>
      <w:r w:rsidRPr="00F113C5">
        <w:rPr>
          <w:rFonts w:ascii="Garamond" w:hAnsi="Garamond" w:cs="Times New Roman"/>
          <w:bCs/>
          <w:i/>
          <w:noProof/>
          <w:lang w:val="en-US"/>
        </w:rPr>
        <w:t>Paradigma Baru Wakaf Di Indonesia</w:t>
      </w:r>
      <w:r w:rsidRPr="00F113C5">
        <w:rPr>
          <w:rFonts w:ascii="Garamond" w:hAnsi="Garamond" w:cs="Times New Roman"/>
          <w:bCs/>
          <w:noProof/>
          <w:lang w:val="en-US"/>
        </w:rPr>
        <w:t xml:space="preserve"> (Jakarta: Direktorat Pemberdaya Wakaf, 2014), p. 7.</w:t>
      </w:r>
      <w:r w:rsidRPr="00F113C5">
        <w:rPr>
          <w:rFonts w:ascii="Garamond" w:hAnsi="Garamond" w:cs="Times New Roman"/>
        </w:rPr>
        <w:fldChar w:fldCharType="end"/>
      </w:r>
    </w:p>
  </w:footnote>
  <w:footnote w:id="28">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{"citationItems":[{"id":"ITEM-1","itemData":{"author":[{"dropping-particle":"","family":"RI","given":"Departemen Agama","non-dropping-particle":"","parse-names":false,"suffix":""}],"id":"ITEM-1","issued":{"date-parts":[["2007"]]},"number-of-pages":"97","publisher":"Direktorat Pemberdayaan Wakaf","publisher-place":"Jakarta","title":"Fiqih Wakaf","type":"book"},"locator":"3","uris":["http://www.mendeley.com/documents/?uuid=e97117c1-58d5-48f4-8bfb-16e330f5c9ac"]}],"mendeley":{"formattedCitation":"Departemen Agama RI, &lt;i&gt;Fiqih Wakaf&lt;/i&gt; (Jakarta: Direktorat Pemberdayaan Wakaf, 2007), p. 3.","plainTextFormattedCitation":"Departemen Agama RI, Fiqih Wakaf (Jakarta: Direktorat Pemberdayaan Wakaf, 2007), p. 3.","previouslyFormattedCitation":"Departemen Agama RI, &lt;i&gt;Fiqih Wakaf&lt;/i&gt; (Jakarta: Direktorat Pemberdayaan Wakaf, 2007), p. 3."},"properties":{"noteIndex":26},"schema":"https://github.com/citation-style-language/schema/raw/master/csl-citation.json"}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Departemen Agama RI, </w:t>
      </w:r>
      <w:r w:rsidRPr="00F113C5">
        <w:rPr>
          <w:rFonts w:ascii="Garamond" w:hAnsi="Garamond" w:cs="Times New Roman"/>
          <w:bCs/>
          <w:i/>
          <w:noProof/>
          <w:lang w:val="en-US"/>
        </w:rPr>
        <w:t>Fiqih Wakaf</w:t>
      </w:r>
      <w:r w:rsidRPr="00F113C5">
        <w:rPr>
          <w:rFonts w:ascii="Garamond" w:hAnsi="Garamond" w:cs="Times New Roman"/>
          <w:bCs/>
          <w:noProof/>
          <w:lang w:val="en-US"/>
        </w:rPr>
        <w:t xml:space="preserve"> (Jakarta: Direktorat Pemberdayaan Wakaf, 2007), p. 3.</w:t>
      </w:r>
      <w:r w:rsidRPr="00F113C5">
        <w:rPr>
          <w:rFonts w:ascii="Garamond" w:hAnsi="Garamond" w:cs="Times New Roman"/>
        </w:rPr>
        <w:fldChar w:fldCharType="end"/>
      </w:r>
    </w:p>
  </w:footnote>
  <w:footnote w:id="29">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IKAPI","given":"Anggota","non-dropping-particle":"","parse-names":false,"suffix":""}],"id":"ITEM-1","issued":{"date-parts":[["2012"]]},"number-of-pages":"29","publisher":"Fokusmedia","publisher-place":"Bandung","title":"Undang-Undang Pengelolaan Zakat dan Wakaf","type":"book"},"locator":"29","uris":["http://www.mendeley.com/documents/?uuid=a89a4038-2cbe-451d-b3ab-d58e912a12d5"]}],"mendeley":{"formattedCitation":"Anggota IKAPI, &lt;i&gt;Undang-Undang Pengelolaan Zakat Dan Wakaf&lt;/i&gt; (Bandung: Fokusmedia, 2012), p. 29.","plainTextFormattedCitation":"Anggota IKAPI, Undang-Undang Pengelolaan Zakat Dan Wakaf (Bandung: Fokusmedia, 2012), p. 29.","previouslyFormattedCitation":"Anggota IKAPI, &lt;i&gt;Undang-Undang Pengelolaan Zakat Dan Wakaf&lt;/i&gt; (Bandung: Fokusmedia, 2012), p. 29."},"properties":{"noteIndex":27},"schema":"https://github.com/citation-style-language/schema/raw/master/csl-citation.json"}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Anggota IKAPI, </w:t>
      </w:r>
      <w:r w:rsidRPr="00F113C5">
        <w:rPr>
          <w:rFonts w:ascii="Garamond" w:hAnsi="Garamond" w:cs="Times New Roman"/>
          <w:bCs/>
          <w:i/>
          <w:noProof/>
          <w:lang w:val="en-US"/>
        </w:rPr>
        <w:t>Undang-Undang Pengelolaan Zakat Dan Wakaf</w:t>
      </w:r>
      <w:r w:rsidRPr="00F113C5">
        <w:rPr>
          <w:rFonts w:ascii="Garamond" w:hAnsi="Garamond" w:cs="Times New Roman"/>
          <w:bCs/>
          <w:noProof/>
          <w:lang w:val="en-US"/>
        </w:rPr>
        <w:t xml:space="preserve"> (Bandung: Fokusmedia, 2012), p. 29.</w:t>
      </w:r>
      <w:r w:rsidRPr="00F113C5">
        <w:rPr>
          <w:rFonts w:ascii="Garamond" w:hAnsi="Garamond" w:cs="Times New Roman"/>
        </w:rPr>
        <w:fldChar w:fldCharType="end"/>
      </w:r>
    </w:p>
  </w:footnote>
  <w:footnote w:id="30">
    <w:p w:rsidR="00316CEF" w:rsidRPr="00F113C5" w:rsidRDefault="00316CEF" w:rsidP="00C2300E">
      <w:pPr>
        <w:pStyle w:val="FootnoteText"/>
        <w:ind w:firstLine="720"/>
        <w:jc w:val="both"/>
        <w:rPr>
          <w:rFonts w:ascii="Garamond" w:hAnsi="Garamond" w:cs="Times New Roman"/>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Suliyanto.","manualFormatting":"Hery Suliyanto,  (Ketua Badan Wakaf Indonesia Provinsi Lampung),  Wawancara, Teluk Betung 23 Februari 2023.","plainTextFormattedCitation":"Hery Suliyanto.","previouslyFormattedCitation":"Hery Suliyanto."},"properties":{"noteIndex":29},"schema":"https://github.com/citation-style-language/schema/raw/master/csl-citation.json"}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Hery Suliyanto, </w:t>
      </w:r>
      <w:r w:rsidRPr="00F113C5">
        <w:rPr>
          <w:rFonts w:ascii="Garamond" w:hAnsi="Garamond" w:cs="Times New Roman"/>
          <w:noProof/>
        </w:rPr>
        <w:fldChar w:fldCharType="begin" w:fldLock="1"/>
      </w:r>
      <w:r w:rsidRPr="00F113C5">
        <w:rPr>
          <w:rFonts w:ascii="Garamond" w:hAnsi="Garamond" w:cs="Times New Roman"/>
          <w:noProof/>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 (Ketua Badan Wakaf Indonesia Provinsi Lampung),  Wawancara, Teluk Betung 23 Februari 2023.","plainTextFormattedCitation":"Hery Suliyanto.","previouslyFormattedCitation":"Hery Suliyanto."},"properties":{"noteIndex":29},"schema":"https://github.com/citation-style-language/schema/raw/master/csl-citation.json"}</w:instrText>
      </w:r>
      <w:r w:rsidRPr="00F113C5">
        <w:rPr>
          <w:rFonts w:ascii="Garamond" w:hAnsi="Garamond" w:cs="Times New Roman"/>
          <w:noProof/>
        </w:rPr>
        <w:fldChar w:fldCharType="separate"/>
      </w:r>
      <w:r w:rsidRPr="00F113C5">
        <w:rPr>
          <w:rFonts w:ascii="Garamond" w:hAnsi="Garamond" w:cs="Times New Roman"/>
          <w:noProof/>
        </w:rPr>
        <w:t xml:space="preserve"> (Ketua Badan Wakaf Indonesia Provinsi Lampung),  Wawancara, Teluk Betung 23 Februari 2023.</w:t>
      </w:r>
      <w:r w:rsidRPr="00F113C5">
        <w:rPr>
          <w:rFonts w:ascii="Garamond" w:hAnsi="Garamond" w:cs="Times New Roman"/>
          <w:noProof/>
        </w:rPr>
        <w:fldChar w:fldCharType="end"/>
      </w:r>
      <w:r w:rsidRPr="00F113C5">
        <w:rPr>
          <w:rFonts w:ascii="Garamond" w:hAnsi="Garamond" w:cs="Times New Roman"/>
        </w:rPr>
        <w:fldChar w:fldCharType="end"/>
      </w:r>
    </w:p>
  </w:footnote>
  <w:footnote w:id="31">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Suliyanto.","manualFormatting":"Rita Linda, (Divisi Pembinaan Nazhir Badan Wakaf Indonesia Provinsi Lampung),  Wawancara, Teluk Betung 23 Februari 2023.","plainTextFormattedCitation":"Hery Suliyanto.","previouslyFormattedCitation":"Hery Suliyanto."},"properties":{"noteIndex":30},"schema":"https://github.com/citation-style-language/schema/raw/master/csl-citation.json"}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Rita Linda, (Divisi Pembinaan Nazhir Badan Wakaf Indonesia Provinsi Lampung),  Wawancara, Teluk Betung 23 Februari 2023.</w:t>
      </w:r>
      <w:r w:rsidRPr="00F113C5">
        <w:rPr>
          <w:rFonts w:ascii="Garamond" w:hAnsi="Garamond" w:cs="Times New Roman"/>
        </w:rPr>
        <w:fldChar w:fldCharType="end"/>
      </w:r>
    </w:p>
  </w:footnote>
  <w:footnote w:id="32">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Suliyanto.","manualFormatting":"Erwinto, (Sekertaris Badan Wakaf Indonesia Provinsi Lampung),  Wawancara, Teluk Betung 23 Februari 2023.","plainTextFormattedCitation":"Hery Suliyanto.","previouslyFormattedCitation":"Hery Suliyanto."},"properties":{"noteIndex":31},"schema":"https://github.com/citation-style-language/schema/raw/master/csl-citation.json"}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Erwinto, (Sekertaris Badan Wakaf Indonesia Provinsi Lampung),  Wawancara, Teluk Betung 23 Februari 2023.</w:t>
      </w:r>
      <w:r w:rsidRPr="00F113C5">
        <w:rPr>
          <w:rFonts w:ascii="Garamond" w:hAnsi="Garamond" w:cs="Times New Roman"/>
        </w:rPr>
        <w:fldChar w:fldCharType="end"/>
      </w:r>
    </w:p>
  </w:footnote>
  <w:footnote w:id="33">
    <w:p w:rsidR="00316CEF" w:rsidRPr="00F113C5" w:rsidRDefault="00316CEF" w:rsidP="00C2300E">
      <w:pPr>
        <w:pStyle w:val="FootnoteText"/>
        <w:ind w:firstLine="720"/>
        <w:jc w:val="both"/>
        <w:rPr>
          <w:rFonts w:ascii="Garamond" w:hAnsi="Garamond" w:cs="Times New Roman"/>
          <w:lang w:val="en-US"/>
        </w:rPr>
      </w:pPr>
      <w:r w:rsidRPr="00F113C5">
        <w:rPr>
          <w:rStyle w:val="FootnoteReference"/>
          <w:rFonts w:ascii="Garamond" w:hAnsi="Garamond" w:cs="Times New Roman"/>
        </w:rPr>
        <w:footnoteRef/>
      </w:r>
      <w:r w:rsidRPr="00F113C5">
        <w:rPr>
          <w:rFonts w:ascii="Garamond" w:hAnsi="Garamond" w:cs="Times New Roman"/>
        </w:rPr>
        <w:t xml:space="preserve"> Deni Priansyah</w:t>
      </w:r>
      <w:r w:rsidRPr="00F113C5">
        <w:rPr>
          <w:rFonts w:ascii="Garamond" w:hAnsi="Garamond" w:cs="Times New Roman"/>
          <w:lang w:val="en-US"/>
        </w:rPr>
        <w:t>, (Ketua BWI Sumatera Selatan), Wawancara, Palembang, 3 Juli 2023</w:t>
      </w:r>
    </w:p>
  </w:footnote>
  <w:footnote w:id="34">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Suliyanto.","manualFormatting":"Kholil Azmi, (Divisi Pembinaan Nazhir Badan Wakaf Indonesia Provinsi Sumatera Selata),  Wawancara, Palembang, 3 Juli 2023.","plainTextFormattedCitation":"Hery Suliyanto.","previouslyFormattedCitation":"Hery Suliyanto."},"properties":{"noteIndex":33},"schema":"https://github.com/citation-style-language/schema/raw/master/csl-citation.json"}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Kholil Azmi, (Divisi Pembinaan Nazhir Badan Wakaf Indonesia Provinsi Sumatera Selata),  Wawancara, Palembang, 3 Juli 2023.</w:t>
      </w:r>
      <w:r w:rsidRPr="00F113C5">
        <w:rPr>
          <w:rFonts w:ascii="Garamond" w:hAnsi="Garamond" w:cs="Times New Roman"/>
        </w:rPr>
        <w:fldChar w:fldCharType="end"/>
      </w:r>
    </w:p>
  </w:footnote>
  <w:footnote w:id="35">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Suliyanto.","manualFormatting":"Cahyo Prabowo, (Divisi Pengelolaan dan Pemberdayaan Wakaf Indonesia Provinsi Lampung),  Wawancara, Teluk Betung 23 Juli 2023.","plainTextFormattedCitation":"Hery Suliyanto.","previouslyFormattedCitation":"Hery Suliyanto."},"properties":{"noteIndex":34},"schema":"https://github.com/citation-style-language/schema/raw/master/csl-citation.json"}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Cahyo Prabowo, (Divisi Pengelolaan dan Pemberdayaan Wakaf Indonesia Provinsi Lampung),  Wawancara, Teluk Betung 23 Juli 2023.</w:t>
      </w:r>
      <w:r w:rsidRPr="00F113C5">
        <w:rPr>
          <w:rFonts w:ascii="Garamond" w:hAnsi="Garamond" w:cs="Times New Roman"/>
        </w:rPr>
        <w:fldChar w:fldCharType="end"/>
      </w:r>
    </w:p>
  </w:footnote>
  <w:footnote w:id="36">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{"citationItems":[{"id":"ITEM-1","itemData":{"author":[{"dropping-particle":"","family":"Muntaqo","given":"Firman","non-dropping-particle":"","parse-names":false,"suffix":""}],"container-title":"Jurnal Al Ahkam edisi No","id":"ITEM-1","issued":{"date-parts":[["2015"]]},"title":"Problematika dan Prospek Wakaf Produktif Di Indonesia”","type":"article-journal","volume":"1, Vol. 25"},"uris":["http://www.mendeley.com/documents/?uuid=73154567-cff8-4a37-bb42-f36066110ad1"]}],"mendeley":{"formattedCitation":"Firman Muntaqo, ‘Problematika Dan Prospek Wakaf Produktif Di Indonesia”’, &lt;i&gt;Jurnal Al Ahkam Edisi No&lt;/i&gt;, 1, Vol. 25 (2015).","plainTextFormattedCitation":"Firman Muntaqo, ‘Problematika Dan Prospek Wakaf Produktif Di Indonesia”’, Jurnal Al Ahkam Edisi No, 1, Vol. 25 (2015).","previouslyFormattedCitation":"Firman Muntaqo, ‘Problematika Dan Prospek Wakaf Produktif Di Indonesia”’, &lt;i&gt;Jurnal Al Ahkam Edisi No&lt;/i&gt;, 1, Vol. 25 (2015)."},"properties":{"noteIndex":35},"schema":"https://github.com/citation-style-language/schema/raw/master/csl-citation.json"}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Firman Muntaqo, ‘Problematika Dan Prospek Wakaf Produktif Di Indonesia”’, </w:t>
      </w:r>
      <w:r w:rsidRPr="00F113C5">
        <w:rPr>
          <w:rFonts w:ascii="Garamond" w:hAnsi="Garamond" w:cs="Times New Roman"/>
          <w:i/>
          <w:noProof/>
        </w:rPr>
        <w:t>Jurnal Al Ahkam Edisi No</w:t>
      </w:r>
      <w:r w:rsidRPr="00F113C5">
        <w:rPr>
          <w:rFonts w:ascii="Garamond" w:hAnsi="Garamond" w:cs="Times New Roman"/>
          <w:noProof/>
        </w:rPr>
        <w:t>, 1, Vol. 25 (2015).</w:t>
      </w:r>
      <w:r w:rsidRPr="00F113C5">
        <w:rPr>
          <w:rFonts w:ascii="Garamond" w:hAnsi="Garamond" w:cs="Times New Roman"/>
        </w:rPr>
        <w:fldChar w:fldCharType="end"/>
      </w:r>
    </w:p>
  </w:footnote>
  <w:footnote w:id="37">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Suliyanto.","manualFormatting":"Cahyo Prabowo, (Divisi Pengelolaan dan Pemberdayaan Wakaf Indonesia Provinsi Lampung),  Wawancara, Teluk Betung 23 Juli 2023.","plainTextFormattedCitation":"Hery Suliyanto.","previouslyFormattedCitation":"Hery Suliyanto."},"properties":{"noteIndex":36},"schema":"https://github.com/citation-style-language/schema/raw/master/csl-citation.json"}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Cahyo Prabowo, (Divisi Pengelolaan dan Pemberdayaan Wakaf Indonesia Provinsi Lampung),  Wawancara, Teluk Betung 23 Juli 2023.</w:t>
      </w:r>
      <w:r w:rsidRPr="00F113C5">
        <w:rPr>
          <w:rFonts w:ascii="Garamond" w:hAnsi="Garamond" w:cs="Times New Roman"/>
        </w:rPr>
        <w:fldChar w:fldCharType="end"/>
      </w:r>
    </w:p>
  </w:footnote>
  <w:footnote w:id="38">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{"citationItems":[{"id":"ITEM-1","itemData":{"author":[{"dropping-particle":"","family":"Muhammad bin Ali bin Muhammad al-Shawkān","given":"","non-dropping-particle":"","parse-names":false,"suffix":""}],"container-title":"Jilid","id":"ITEM-1","issued":{"date-parts":[["0"]]},"number-of-pages":"112","title":"Nayl al-Aw</w:instrText>
      </w:r>
      <w:r w:rsidRPr="00F113C5">
        <w:rPr>
          <w:rFonts w:ascii="Times New Roman" w:hAnsi="Times New Roman" w:cs="Times New Roman"/>
        </w:rPr>
        <w:instrText>ṭ</w:instrText>
      </w:r>
      <w:r w:rsidRPr="00F113C5">
        <w:rPr>
          <w:rFonts w:ascii="Garamond" w:hAnsi="Garamond" w:cs="Times New Roman"/>
        </w:rPr>
        <w:instrText>ār","type":"book","volume":"IV"},"locator":"112","uris":["http://www.mendeley.com/documents/?uuid=1ea5bfae-e4ff-405f-b597-be84bfddfd13"]}],"mendeley":{"formattedCitation":"Muhammad bin Ali bin Muhammad al-Shawkān, &lt;i&gt;Nayl Al-Aw</w:instrText>
      </w:r>
      <w:r w:rsidRPr="00F113C5">
        <w:rPr>
          <w:rFonts w:ascii="Times New Roman" w:hAnsi="Times New Roman" w:cs="Times New Roman"/>
        </w:rPr>
        <w:instrText>ṭ</w:instrText>
      </w:r>
      <w:r w:rsidRPr="00F113C5">
        <w:rPr>
          <w:rFonts w:ascii="Garamond" w:hAnsi="Garamond" w:cs="Times New Roman"/>
        </w:rPr>
        <w:instrText>ār&lt;/i&gt;, &lt;i&gt;Jilid&lt;/i&gt;, &lt;span style=\"font-variant:small-caps;\"&gt;IV&lt;/span&gt;, p. 112.","plainTextFormattedCitation":"Muhammad bin Ali bin Muhammad al-Shawkān, Nayl Al-Aw</w:instrText>
      </w:r>
      <w:r w:rsidRPr="00F113C5">
        <w:rPr>
          <w:rFonts w:ascii="Times New Roman" w:hAnsi="Times New Roman" w:cs="Times New Roman"/>
        </w:rPr>
        <w:instrText>ṭ</w:instrText>
      </w:r>
      <w:r w:rsidRPr="00F113C5">
        <w:rPr>
          <w:rFonts w:ascii="Garamond" w:hAnsi="Garamond" w:cs="Times New Roman"/>
        </w:rPr>
        <w:instrText>ār, Jilid, IV, p. 112.","previouslyFormattedCitation":"Muhammad bin Ali bin Muhammad al-Shawkān, &lt;i&gt;Nayl Al-Aw</w:instrText>
      </w:r>
      <w:r w:rsidRPr="00F113C5">
        <w:rPr>
          <w:rFonts w:ascii="Times New Roman" w:hAnsi="Times New Roman" w:cs="Times New Roman"/>
        </w:rPr>
        <w:instrText>ṭ</w:instrText>
      </w:r>
      <w:r w:rsidRPr="00F113C5">
        <w:rPr>
          <w:rFonts w:ascii="Garamond" w:hAnsi="Garamond" w:cs="Times New Roman"/>
        </w:rPr>
        <w:instrText>ār&lt;/i&gt;, &lt;i&gt;Jilid&lt;/i&gt;, &lt;span style=\"font-variant:small-caps;\"&gt;IV&lt;/span&gt;, p. 112."},"properties":{"noteIndex":37},"schema":"https://github.com/citation-style-language/schema/raw/master/csl-citation.json"}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Muhammad bin Ali bin Muhammad al-Shawkān, </w:t>
      </w:r>
      <w:r w:rsidRPr="00F113C5">
        <w:rPr>
          <w:rFonts w:ascii="Garamond" w:hAnsi="Garamond" w:cs="Times New Roman"/>
          <w:i/>
          <w:noProof/>
        </w:rPr>
        <w:t>Nayl Al-Aw</w:t>
      </w:r>
      <w:r w:rsidRPr="00F113C5">
        <w:rPr>
          <w:rFonts w:ascii="Times New Roman" w:hAnsi="Times New Roman" w:cs="Times New Roman"/>
          <w:i/>
          <w:noProof/>
        </w:rPr>
        <w:t>ṭ</w:t>
      </w:r>
      <w:r w:rsidRPr="00F113C5">
        <w:rPr>
          <w:rFonts w:ascii="Garamond" w:hAnsi="Garamond" w:cs="Times New Roman"/>
          <w:i/>
          <w:noProof/>
        </w:rPr>
        <w:t>ār</w:t>
      </w:r>
      <w:r w:rsidRPr="00F113C5">
        <w:rPr>
          <w:rFonts w:ascii="Garamond" w:hAnsi="Garamond" w:cs="Times New Roman"/>
          <w:noProof/>
        </w:rPr>
        <w:t xml:space="preserve">, </w:t>
      </w:r>
      <w:r w:rsidRPr="00F113C5">
        <w:rPr>
          <w:rFonts w:ascii="Garamond" w:hAnsi="Garamond" w:cs="Times New Roman"/>
          <w:i/>
          <w:noProof/>
        </w:rPr>
        <w:t>Jilid</w:t>
      </w:r>
      <w:r w:rsidRPr="00F113C5">
        <w:rPr>
          <w:rFonts w:ascii="Garamond" w:hAnsi="Garamond" w:cs="Times New Roman"/>
          <w:noProof/>
        </w:rPr>
        <w:t xml:space="preserve">, </w:t>
      </w:r>
      <w:r w:rsidRPr="00F113C5">
        <w:rPr>
          <w:rFonts w:ascii="Garamond" w:hAnsi="Garamond" w:cs="Times New Roman"/>
          <w:smallCaps/>
          <w:noProof/>
        </w:rPr>
        <w:t>IV</w:t>
      </w:r>
      <w:r w:rsidRPr="00F113C5">
        <w:rPr>
          <w:rFonts w:ascii="Garamond" w:hAnsi="Garamond" w:cs="Times New Roman"/>
          <w:noProof/>
        </w:rPr>
        <w:t>, p. 112.</w:t>
      </w:r>
      <w:r w:rsidRPr="00F113C5">
        <w:rPr>
          <w:rFonts w:ascii="Garamond" w:hAnsi="Garamond" w:cs="Times New Roman"/>
        </w:rPr>
        <w:fldChar w:fldCharType="end"/>
      </w:r>
    </w:p>
  </w:footnote>
  <w:footnote w:id="39">
    <w:p w:rsidR="00316CEF" w:rsidRPr="00F113C5" w:rsidRDefault="00316CEF" w:rsidP="00C2300E">
      <w:pPr>
        <w:pStyle w:val="FootnoteText"/>
        <w:ind w:firstLine="684"/>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{"citationItems":[{"id":"ITEM-1","itemData":{"author":[{"dropping-particle":"","family":"Qahaf","given":"Mundzir","non-dropping-particle":"","parse-names":false,"suffix":""}],"container-title":"terj.H. Muhyiddin Mas Rida","id":"ITEM-1","issued":{"date-parts":[["2005"]]},"page":"89","publisher":"Khalifa","publisher-place":"Jakarta","title":"Manajemen Wakaf Produktif","type":"chapter"},"uris":["http://www.mendeley.com/documents/?uuid=da10d1b5-d0a9-4d74-bec0-5b60333260eb"]}],"mendeley":{"formattedCitation":"Mundzir Qahaf, ‘Manajemen Wakaf Produktif’, in &lt;i&gt;Terj.H. Muhyiddin Mas Rida&lt;/i&gt; (Jakarta: Khalifa, 2005), p. 89.","plainTextFormattedCitation":"Mundzir Qahaf, ‘Manajemen Wakaf Produktif’, in Terj.H. Muhyiddin Mas Rida (Jakarta: Khalifa, 2005), p. 89.","previouslyFormattedCitation":"Mundzir Qahaf, ‘Manajemen Wakaf Produktif’, in &lt;i&gt;Terj.H. Muhyiddin Mas Rida&lt;/i&gt; (Jakarta: Khalifa, 2005), p. 89."},"properties":{"noteIndex":38},"schema":"https://github.com/citation-style-language/schema/raw/master/csl-citation.json"}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Mundzir Qahaf, ‘Manajemen Wakaf Produktif’, in </w:t>
      </w:r>
      <w:r w:rsidRPr="00F113C5">
        <w:rPr>
          <w:rFonts w:ascii="Garamond" w:hAnsi="Garamond" w:cs="Times New Roman"/>
          <w:i/>
          <w:noProof/>
        </w:rPr>
        <w:t>Terj.H. Muhyiddin Mas Rida</w:t>
      </w:r>
      <w:r w:rsidRPr="00F113C5">
        <w:rPr>
          <w:rFonts w:ascii="Garamond" w:hAnsi="Garamond" w:cs="Times New Roman"/>
          <w:noProof/>
        </w:rPr>
        <w:t xml:space="preserve"> (Jakarta: Khalifa, 2005), p. 89.</w:t>
      </w:r>
      <w:r w:rsidRPr="00F113C5">
        <w:rPr>
          <w:rFonts w:ascii="Garamond" w:hAnsi="Garamond" w:cs="Times New Roman"/>
        </w:rPr>
        <w:fldChar w:fldCharType="end"/>
      </w:r>
    </w:p>
  </w:footnote>
  <w:footnote w:id="40">
    <w:p w:rsidR="00316CEF" w:rsidRPr="00F113C5" w:rsidRDefault="00316CEF" w:rsidP="00C2300E">
      <w:pPr>
        <w:pStyle w:val="FootnoteText"/>
        <w:ind w:firstLine="684"/>
        <w:jc w:val="both"/>
        <w:rPr>
          <w:rFonts w:ascii="Garamond" w:hAnsi="Garamond" w:cs="Times New Roman"/>
          <w:lang w:val="en-US"/>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lang w:val="en-US"/>
        </w:rPr>
        <w:t xml:space="preserve">Ahmad Ikhwani, </w:t>
      </w:r>
      <w:r w:rsidRPr="00F113C5">
        <w:rPr>
          <w:rFonts w:ascii="Garamond" w:hAnsi="Garamond" w:cs="Times New Roman"/>
          <w:noProof/>
        </w:rPr>
        <w:t>(</w:t>
      </w:r>
      <w:r w:rsidRPr="00F113C5">
        <w:rPr>
          <w:rFonts w:ascii="Garamond" w:hAnsi="Garamond" w:cs="Times New Roman"/>
          <w:noProof/>
          <w:lang w:val="en-US"/>
        </w:rPr>
        <w:t>Dosen Fakultas Syariah UIN Raden Intan Lampung dan Ketua Komisi Fatwa MUI Lampung</w:t>
      </w:r>
      <w:r w:rsidRPr="00F113C5">
        <w:rPr>
          <w:rFonts w:ascii="Garamond" w:hAnsi="Garamond" w:cs="Times New Roman"/>
          <w:noProof/>
        </w:rPr>
        <w:t xml:space="preserve">),  Wawancara, </w:t>
      </w:r>
      <w:r w:rsidRPr="00F113C5">
        <w:rPr>
          <w:rFonts w:ascii="Garamond" w:hAnsi="Garamond" w:cs="Times New Roman"/>
          <w:noProof/>
          <w:lang w:val="en-US"/>
        </w:rPr>
        <w:t>Bandar Lampung 1</w:t>
      </w:r>
      <w:r w:rsidRPr="00F113C5">
        <w:rPr>
          <w:rFonts w:ascii="Garamond" w:hAnsi="Garamond" w:cs="Times New Roman"/>
          <w:noProof/>
        </w:rPr>
        <w:t xml:space="preserve">2 </w:t>
      </w:r>
      <w:r w:rsidRPr="00F113C5">
        <w:rPr>
          <w:rFonts w:ascii="Garamond" w:hAnsi="Garamond" w:cs="Times New Roman"/>
          <w:noProof/>
          <w:lang w:val="en-US"/>
        </w:rPr>
        <w:t xml:space="preserve">Agustus </w:t>
      </w:r>
      <w:r w:rsidRPr="00F113C5">
        <w:rPr>
          <w:rFonts w:ascii="Garamond" w:hAnsi="Garamond" w:cs="Times New Roman"/>
          <w:noProof/>
        </w:rPr>
        <w:t>2023</w:t>
      </w:r>
    </w:p>
  </w:footnote>
  <w:footnote w:id="41">
    <w:p w:rsidR="00316CEF" w:rsidRPr="00F113C5" w:rsidRDefault="00316CEF" w:rsidP="00C2300E">
      <w:pPr>
        <w:pStyle w:val="FootnoteText"/>
        <w:ind w:firstLine="684"/>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{"citationItems":[{"id":"ITEM-1","itemData":{"author":[{"dropping-particle":"","family":"Tuti A. Najib dan Ridwan al-Makassary","given":"","non-dropping-particle":"","parse-names":false,"suffix":""}],"id":"ITEM-1","issued":{"date-parts":[["2006"]]},"number-of-pages":"34–35","publisher":"CSRC-UIN Syarif Hidayatullah","publisher-place":"Jakarta","title":"Wakaf, Tuhan dan Agenda Kemanusiaan; Studi tentang Wakaf dalam Perspektif KeadilanSosial di Indonesia","type":"book"},"locator":"34-35","uris":["http://www.mendeley.com/documents/?uuid=e7be4384-d7ad-423a-ac04-3ddb70baf240"]}],"mendeley":{"formattedCitation":"Tuti A. Najib dan Ridwan al-Makassary, &lt;i&gt;Wakaf, Tuhan Dan Agenda Kemanusiaan; Studi Tentang Wakaf Dalam Perspektif KeadilanSosial Di Indonesia&lt;/i&gt; (Jakarta: CSRC-UIN Syarif Hidayatullah, 2006), pp. 34–35.","plainTextFormattedCitation":"Tuti A. Najib dan Ridwan al-Makassary, Wakaf, Tuhan Dan Agenda Kemanusiaan; Studi Tentang Wakaf Dalam Perspektif KeadilanSosial Di Indonesia (Jakarta: CSRC-UIN Syarif Hidayatullah, 2006), pp. 34–35.","previouslyFormattedCitation":"Tuti A. Najib dan Ridwan al-Makassary, &lt;i&gt;Wakaf, Tuhan Dan Agenda Kemanusiaan; Studi Tentang Wakaf Dalam Perspektif KeadilanSosial Di Indonesia&lt;/i&gt; (Jakarta: CSRC-UIN Syarif Hidayatullah, 2006), pp. 34–35."},"properties":{"noteIndex":40},"schema":"https://github.com/citation-style-language/schema/raw/master/csl-citation.json"}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Tuti A. Najib dan Ridwan al-Makassary, </w:t>
      </w:r>
      <w:r w:rsidRPr="00F113C5">
        <w:rPr>
          <w:rFonts w:ascii="Garamond" w:hAnsi="Garamond" w:cs="Times New Roman"/>
          <w:bCs/>
          <w:i/>
          <w:noProof/>
          <w:lang w:val="en-US"/>
        </w:rPr>
        <w:t>Wakaf, Tuhan Dan Agenda Kemanusiaan; Studi Tentang Wakaf Dalam Perspektif KeadilanSosial Di Indonesia</w:t>
      </w:r>
      <w:r w:rsidRPr="00F113C5">
        <w:rPr>
          <w:rFonts w:ascii="Garamond" w:hAnsi="Garamond" w:cs="Times New Roman"/>
          <w:bCs/>
          <w:noProof/>
          <w:lang w:val="en-US"/>
        </w:rPr>
        <w:t xml:space="preserve"> (Jakarta: CSRC-UIN Syarif Hidayatullah, 2006), pp. 34–35.</w:t>
      </w:r>
      <w:r w:rsidRPr="00F113C5">
        <w:rPr>
          <w:rFonts w:ascii="Garamond" w:hAnsi="Garamond" w:cs="Times New Roman"/>
        </w:rPr>
        <w:fldChar w:fldCharType="end"/>
      </w:r>
    </w:p>
  </w:footnote>
  <w:footnote w:id="42">
    <w:p w:rsidR="00316CEF" w:rsidRPr="00F113C5" w:rsidRDefault="00316CEF" w:rsidP="00C2300E">
      <w:pPr>
        <w:pStyle w:val="FootnoteText"/>
        <w:ind w:firstLine="684"/>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{"citationItems":[{"id":"ITEM-1","itemData":{"author":[{"dropping-particle":"","family":"Hery Suliyanto","given":"","non-dropping-particle":"","parse-names":false,"suffix":""}],"id":"ITEM-1","issued":{"date-parts":[["0"]]},"title":"Wawancara","type":"legislation"},"uris":["http://www.mendeley.com/documents/?uuid=f99e243e-ce60-4128-a16b-2f4295eda6ef"]}],"mendeley":{"formattedCitation":"Hery Suliyanto.","manualFormatting":"Deni Priansyah, (Ketua Badan Wakaf Indonesia Sumatera Selatan),  Wawancara, Palembang, 3 Juli 2023.","plainTextFormattedCitation":"Hery Suliyanto.","previouslyFormattedCitation":"Hery Suliyanto."},"properties":{"noteIndex":41},"schema":"https://github.com/citation-style-language/schema/raw/master/csl-citation.json"}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Deni Priansyah, (Ketua Badan Wakaf Indonesia Sumatera Selatan),  Wawancara, Palembang, 3 Juli 2023.</w:t>
      </w:r>
      <w:r w:rsidRPr="00F113C5">
        <w:rPr>
          <w:rFonts w:ascii="Garamond" w:hAnsi="Garamond" w:cs="Times New Roman"/>
        </w:rPr>
        <w:fldChar w:fldCharType="end"/>
      </w:r>
    </w:p>
  </w:footnote>
  <w:footnote w:id="43">
    <w:p w:rsidR="00316CEF" w:rsidRPr="00F113C5" w:rsidRDefault="00316CEF" w:rsidP="00C2300E">
      <w:pPr>
        <w:pStyle w:val="FootnoteText"/>
        <w:ind w:firstLine="684"/>
        <w:jc w:val="both"/>
        <w:rPr>
          <w:rFonts w:ascii="Garamond" w:hAnsi="Garamond" w:cs="Times New Roman"/>
          <w:lang w:val="en-US"/>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lang w:val="en-US"/>
        </w:rPr>
        <w:t xml:space="preserve">Ikhwan Fikri, </w:t>
      </w:r>
      <w:r w:rsidRPr="00F113C5">
        <w:rPr>
          <w:rFonts w:ascii="Garamond" w:hAnsi="Garamond" w:cs="Times New Roman"/>
          <w:noProof/>
        </w:rPr>
        <w:t>(</w:t>
      </w:r>
      <w:r w:rsidRPr="00F113C5">
        <w:rPr>
          <w:rFonts w:ascii="Garamond" w:hAnsi="Garamond" w:cs="Times New Roman"/>
          <w:noProof/>
          <w:lang w:val="en-US"/>
        </w:rPr>
        <w:t>Dosen Fakultas Syariah UIN Raden Fatah Palembang</w:t>
      </w:r>
      <w:r w:rsidRPr="00F113C5">
        <w:rPr>
          <w:rFonts w:ascii="Garamond" w:hAnsi="Garamond" w:cs="Times New Roman"/>
          <w:noProof/>
        </w:rPr>
        <w:t xml:space="preserve">),  Wawancara, </w:t>
      </w:r>
      <w:r w:rsidRPr="00F113C5">
        <w:rPr>
          <w:rFonts w:ascii="Garamond" w:hAnsi="Garamond" w:cs="Times New Roman"/>
          <w:noProof/>
          <w:lang w:val="en-US"/>
        </w:rPr>
        <w:t xml:space="preserve">Palembang, 4 Juli </w:t>
      </w:r>
      <w:r w:rsidRPr="00F113C5">
        <w:rPr>
          <w:rFonts w:ascii="Garamond" w:hAnsi="Garamond" w:cs="Times New Roman"/>
          <w:noProof/>
        </w:rPr>
        <w:t>2023</w:t>
      </w:r>
    </w:p>
  </w:footnote>
  <w:footnote w:id="44">
    <w:p w:rsidR="00316CEF" w:rsidRPr="00F113C5" w:rsidRDefault="00316CEF" w:rsidP="00C2300E">
      <w:pPr>
        <w:pStyle w:val="FootnoteText"/>
        <w:ind w:firstLine="684"/>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{"citationItems":[{"id":"ITEM-1","itemData":{"author":[{"dropping-particle":"","family":"Thobieb.D.A.","given":"","non-dropping-particle":"","parse-names":false,"suffix":""}],"id":"ITEM-1","issued":{"date-parts":[["2017"]]},"number-of-pages":"21","publisher":"Mumtaz Publishing","publisher-place":"Depok","title":"Menuju Era Wakaf Produktif","type":"book"},"locator":"21","uris":["http://www.mendeley.com/documents/?uuid=6a4426b0-7a41-488c-97bf-2cc022c01979"]}],"mendeley":{"formattedCitation":"Thobieb.D.A., p. 21.","plainTextFormattedCitation":"Thobieb.D.A., p. 21.","previouslyFormattedCitation":"Thobieb.D.A., &lt;i&gt;Menuju Era Wakaf Produktif&lt;/i&gt; (Depok: Mumtaz Publishing, 2017), p. 21."},"properties":{"noteIndex":43},"schema":"https://github.com/citation-style-language/schema/raw/master/csl-citation.json"}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Thobieb.D.A., p. 21.</w:t>
      </w:r>
      <w:r w:rsidRPr="00F113C5">
        <w:rPr>
          <w:rFonts w:ascii="Garamond" w:hAnsi="Garamond" w:cs="Times New Roman"/>
        </w:rPr>
        <w:fldChar w:fldCharType="end"/>
      </w:r>
    </w:p>
  </w:footnote>
  <w:footnote w:id="45">
    <w:p w:rsidR="00316CEF" w:rsidRPr="00F113C5" w:rsidRDefault="00316CEF" w:rsidP="00C2300E">
      <w:pPr>
        <w:pStyle w:val="FootnoteText"/>
        <w:ind w:firstLine="720"/>
        <w:jc w:val="both"/>
        <w:rPr>
          <w:rFonts w:ascii="Garamond" w:hAnsi="Garamond" w:cs="Times New Roman"/>
        </w:rPr>
      </w:pPr>
      <w:r w:rsidRPr="00F113C5">
        <w:rPr>
          <w:rStyle w:val="FootnoteReference"/>
          <w:rFonts w:ascii="Garamond" w:hAnsi="Garamond" w:cs="Times New Roman"/>
        </w:rPr>
        <w:footnoteRef/>
      </w:r>
      <w:r w:rsidRPr="00F113C5">
        <w:rPr>
          <w:rFonts w:ascii="Garamond" w:hAnsi="Garamond" w:cs="Times New Roman"/>
        </w:rPr>
        <w:t xml:space="preserve"> Suryani, S., &amp; Isra, Y. (2016). Wakaf Produktif (Cash Waqf) Dalam Perspektif Hukum Islam Dan Maqā</w:t>
      </w:r>
      <w:r w:rsidRPr="00F113C5">
        <w:rPr>
          <w:rFonts w:ascii="Times New Roman" w:hAnsi="Times New Roman" w:cs="Times New Roman"/>
        </w:rPr>
        <w:t>ṣ</w:t>
      </w:r>
      <w:r w:rsidRPr="00F113C5">
        <w:rPr>
          <w:rFonts w:ascii="Garamond" w:hAnsi="Garamond" w:cs="Times New Roman"/>
        </w:rPr>
        <w:t>id Al-Sharī ‘Ah. Walisongo: Jurnal Penelitian Sosial Keagamaan, 24(1), 17-36.</w:t>
      </w:r>
    </w:p>
  </w:footnote>
  <w:footnote w:id="46">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{"citationItems":[{"id":"ITEM-1","itemData":{"author":[{"dropping-particle":"","family":"Purnomo.A &amp;","given":"","non-dropping-particle":"","parse-names":false,"suffix":""},{"dropping-particle":"","family":"Khakim.L","given":"","non-dropping-particle":"","parse-names":false,"suffix":""}],"container-title":"NUANSA: Jurnal Penelitian Ilmu Sosial dan Keagamaan Islam","id":"ITEM-1","issue":"1","issued":{"date-parts":[["2019"]]},"page":"103–111","title":"Implementasi Wakaf Produktif Dalam Perspektif Ekonomi Syariah","type":"article-journal","volume":"16"},"uris":["http://www.mendeley.com/documents/?uuid=1e1cbc00-f861-44e1-a2fa-ecc60f1d8634"]}],"mendeley":{"formattedCitation":"Purnomo.A &amp; and Khakim.L, ‘Implementasi Wakaf Produktif Dalam Perspektif Ekonomi Syariah’, &lt;i&gt;NUANSA: Jurnal Penelitian Ilmu Sosial Dan Keagamaan Islam&lt;/i&gt;, 16.1 (2019), 103–111.","plainTextFormattedCitation":"Purnomo.A &amp; and Khakim.L, ‘Implementasi Wakaf Produktif Dalam Perspektif Ekonomi Syariah’, NUANSA: Jurnal Penelitian Ilmu Sosial Dan Keagamaan Islam, 16.1 (2019), 103–111.","previouslyFormattedCitation":"Purnomo.A &amp; and Khakim.L, ‘Implementasi Wakaf Produktif Dalam Perspektif Ekonomi Syariah’, &lt;i&gt;NUANSA: Jurnal Penelitian Ilmu Sosial Dan Keagamaan Islam&lt;/i&gt;, 16.1 (2019), 103–111."},"properties":{"noteIndex":45},"schema":"https://github.com/citation-style-language/schema/raw/master/csl-citation.json"}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Purnomo.A &amp; and Khakim.L, ‘Implementasi Wakaf Produktif Dalam Perspektif Ekonomi Syariah’, </w:t>
      </w:r>
      <w:r w:rsidRPr="00F113C5">
        <w:rPr>
          <w:rFonts w:ascii="Garamond" w:hAnsi="Garamond" w:cs="Times New Roman"/>
          <w:i/>
          <w:noProof/>
        </w:rPr>
        <w:t>NUANSA: Jurnal Penelitian Ilmu Sosial Dan Keagamaan Islam</w:t>
      </w:r>
      <w:r w:rsidRPr="00F113C5">
        <w:rPr>
          <w:rFonts w:ascii="Garamond" w:hAnsi="Garamond" w:cs="Times New Roman"/>
          <w:noProof/>
        </w:rPr>
        <w:t>, 16.1 (2019), 103–111.</w:t>
      </w:r>
      <w:r w:rsidRPr="00F113C5">
        <w:rPr>
          <w:rFonts w:ascii="Garamond" w:hAnsi="Garamond" w:cs="Times New Roman"/>
        </w:rPr>
        <w:fldChar w:fldCharType="end"/>
      </w:r>
    </w:p>
  </w:footnote>
  <w:footnote w:id="47">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{"citationItems":[{"id":"ITEM-1","itemData":{"author":[{"dropping-particle":"","family":"Rozalinda","given":"","non-dropping-particle":"","parse-names":false,"suffix":""}],"id":"ITEM-1","issued":{"date-parts":[["2015"]]},"number-of-pages":"21–26","publisher":"Rajawali Press","publisher-place":"Jakarta","title":"Manajemen Wakaf Produktif","type":"book"},"locator":"21-26","uris":["http://www.mendeley.com/documents/?uuid=0c676705-386a-43df-93ba-8b195f22b264"]}],"mendeley":{"formattedCitation":"Rozalinda, &lt;i&gt;Manajemen Wakaf Produktif&lt;/i&gt; (Jakarta: Rajawali Press, 2015), pp. 21–26.","plainTextFormattedCitation":"Rozalinda, Manajemen Wakaf Produktif (Jakarta: Rajawali Press, 2015), pp. 21–26.","previouslyFormattedCitation":"Rozalinda, &lt;i&gt;Manajemen Wakaf Produktif&lt;/i&gt; (Jakarta: Rajawali Press, 2015), pp. 21–26."},"properties":{"noteIndex":46},"schema":"https://github.com/citation-style-language/schema/raw/master/csl-citation.json"}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Rozalinda, </w:t>
      </w:r>
      <w:r w:rsidRPr="00F113C5">
        <w:rPr>
          <w:rFonts w:ascii="Garamond" w:hAnsi="Garamond" w:cs="Times New Roman"/>
          <w:bCs/>
          <w:i/>
          <w:noProof/>
          <w:lang w:val="en-US"/>
        </w:rPr>
        <w:t>Manajemen Wakaf Produktif</w:t>
      </w:r>
      <w:r w:rsidRPr="00F113C5">
        <w:rPr>
          <w:rFonts w:ascii="Garamond" w:hAnsi="Garamond" w:cs="Times New Roman"/>
          <w:bCs/>
          <w:noProof/>
          <w:lang w:val="en-US"/>
        </w:rPr>
        <w:t xml:space="preserve"> (Jakarta: Rajawali Press, 2015), pp. 21–26.</w:t>
      </w:r>
      <w:r w:rsidRPr="00F113C5">
        <w:rPr>
          <w:rFonts w:ascii="Garamond" w:hAnsi="Garamond" w:cs="Times New Roman"/>
        </w:rPr>
        <w:fldChar w:fldCharType="end"/>
      </w:r>
    </w:p>
  </w:footnote>
  <w:footnote w:id="48">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Qahaf.M","given":"","non-dropping-particle":"","parse-names":false,"suffix":""}],"id":"ITEM-1","issued":{"date-parts":[["2004"]]},"number-of-pages":"23","publisher":"Khalifa","publisher-place":"Jakarta","title":"Manajemen Wakaf Produktif","type":"book"},"locator":"23","uris":["http://www.mendeley.com/documents/?uuid=3971bf19-ce41-484f-acb1-b9d1d0463134"]}],"mendeley":{"formattedCitation":"Qahaf.M, &lt;i&gt;Manajemen Wakaf Produktif&lt;/i&gt; (Jakarta: Khalifa, 2004), p. 23.","plainTextFormattedCitation":"Qahaf.M, Manajemen Wakaf Produktif (Jakarta: Khalifa, 2004), p. 23.","previouslyFormattedCitation":"Qahaf.M, &lt;i&gt;Manajemen Wakaf Produktif&lt;/i&gt; (Jakarta: Khalifa, 2004), p. 23."},"properties":{"noteIndex":47},"schema":"https://github.com/citation-style-language/schema/raw/master/csl-citation.json"}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bCs/>
          <w:noProof/>
          <w:lang w:val="en-US"/>
        </w:rPr>
        <w:t xml:space="preserve">Qahaf.M, </w:t>
      </w:r>
      <w:r w:rsidRPr="00F113C5">
        <w:rPr>
          <w:rFonts w:ascii="Garamond" w:hAnsi="Garamond" w:cs="Times New Roman"/>
          <w:bCs/>
          <w:i/>
          <w:noProof/>
          <w:lang w:val="en-US"/>
        </w:rPr>
        <w:t>Manajemen Wakaf Produktif</w:t>
      </w:r>
      <w:r w:rsidRPr="00F113C5">
        <w:rPr>
          <w:rFonts w:ascii="Garamond" w:hAnsi="Garamond" w:cs="Times New Roman"/>
          <w:bCs/>
          <w:noProof/>
          <w:lang w:val="en-US"/>
        </w:rPr>
        <w:t xml:space="preserve"> (Jakarta: Khalifa, 2004), p. 23.</w:t>
      </w:r>
      <w:r w:rsidRPr="00F113C5">
        <w:rPr>
          <w:rFonts w:ascii="Garamond" w:hAnsi="Garamond" w:cs="Times New Roman"/>
        </w:rPr>
        <w:fldChar w:fldCharType="end"/>
      </w:r>
    </w:p>
  </w:footnote>
  <w:footnote w:id="49">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{"citationItems":[{"id":"ITEM-1","itemData":{"author":[{"dropping-particle":"","family":"Wahbah Az-Zuhaili","given":"","non-dropping-particle":"","parse-names":false,"suffix":""}],"id":"ITEM-1","issued":{"date-parts":[["0"]]},"note":"Dimsyiq: Dar al-Fikr, t.th) cet. 12, juz 10, h. 7686","publisher":"Dar al-Fikr, t.th) cet. 12, juz 10","publisher-place":"Dimsyiq","title":"al-Fiqhu al-Islamiy wa Adillatuhu","type":"book"},"locator":"7686","uris":["http://www.mendeley.com/documents/?uuid=b0f8f910-7504-40fd-a865-bb83a3f800d1"]}],"mendeley":{"formattedCitation":"Wahbah Az-Zuhaili, &lt;i&gt;Al-Fiqhu Al-Islamiy Wa Adillatuhu&lt;/i&gt; (Dimsyiq: Dar al-Fikr, t.th) cet. 12, juz 10), p. 7686.","plainTextFormattedCitation":"Wahbah Az-Zuhaili, Al-Fiqhu Al-Islamiy Wa Adillatuhu (Dimsyiq: Dar al-Fikr, t.th) cet. 12, juz 10), p. 7686.","previouslyFormattedCitation":"Wahbah Az-Zuhaili, &lt;i&gt;Al-Fiqhu Al-Islamiy Wa Adillatuhu&lt;/i&gt; (Dimsyiq: Dar al-Fikr, t.th) cet. 12, juz 10), p. 7686."},"properties":{"noteIndex":48},"schema":"https://github.com/citation-style-language/schema/raw/master/csl-citation.json"}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Wahbah Az-Zuhaili, </w:t>
      </w:r>
      <w:r w:rsidRPr="00F113C5">
        <w:rPr>
          <w:rFonts w:ascii="Garamond" w:hAnsi="Garamond" w:cs="Times New Roman"/>
          <w:i/>
          <w:noProof/>
        </w:rPr>
        <w:t>Al-Fiqhu Al-Islamiy Wa Adillatuhu</w:t>
      </w:r>
      <w:r w:rsidRPr="00F113C5">
        <w:rPr>
          <w:rFonts w:ascii="Garamond" w:hAnsi="Garamond" w:cs="Times New Roman"/>
          <w:noProof/>
        </w:rPr>
        <w:t xml:space="preserve"> (Dimsyiq: Dar al-Fikr, t.th) cet. 12, juz 10), p. 7686.</w:t>
      </w:r>
      <w:r w:rsidRPr="00F113C5">
        <w:rPr>
          <w:rFonts w:ascii="Garamond" w:hAnsi="Garamond" w:cs="Times New Roman"/>
        </w:rPr>
        <w:fldChar w:fldCharType="end"/>
      </w:r>
    </w:p>
  </w:footnote>
  <w:footnote w:id="50">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{"citationItems":[{"id":"ITEM-1","itemData":{"author":[{"dropping-particle":"","family":"Fadilah.S","given":"","non-dropping-particle":"","parse-names":false,"suffix":""}],"id":"ITEM-1","issued":{"date-parts":[["201"]]},"title":"Going Concern: An Implementation in Waqf Institutions (Religious Charitable Endowment","type":"article"},"uris":["http://www.mendeley.com/documents/?uuid=d5f03442-cf89-48a1-b7c7-7ac644ec7f92"]}],"mendeley":{"formattedCitation":"Fadilah.S, ‘Going Concern: An Implementation in Waqf Institutions (Religious Charitable Endowment’, 201AD.","plainTextFormattedCitation":"Fadilah.S, ‘Going Concern: An Implementation in Waqf Institutions (Religious Charitable Endowment’, 201AD.","previouslyFormattedCitation":"Fadilah.S, ‘Going Concern: An Implementation in Waqf Institutions (Religious Charitable Endowment’, 201AD."},"properties":{"noteIndex":49},"schema":"https://github.com/citation-style-language/schema/raw/master/csl-citation.json"}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Fadilah.S, ‘Going Concern: An Implementation in Waqf Institutions (Religious Charitable Endowment’, 201AD.</w:t>
      </w:r>
      <w:r w:rsidRPr="00F113C5">
        <w:rPr>
          <w:rFonts w:ascii="Garamond" w:hAnsi="Garamond" w:cs="Times New Roman"/>
        </w:rPr>
        <w:fldChar w:fldCharType="end"/>
      </w:r>
    </w:p>
  </w:footnote>
  <w:footnote w:id="51">
    <w:p w:rsidR="00316CEF" w:rsidRPr="00F113C5" w:rsidRDefault="00316CEF" w:rsidP="00C2300E">
      <w:pPr>
        <w:pStyle w:val="FootnoteText"/>
        <w:ind w:firstLine="720"/>
        <w:jc w:val="both"/>
        <w:rPr>
          <w:rFonts w:ascii="Garamond" w:hAnsi="Garamond" w:cs="Times New Roman"/>
          <w:lang w:val="en-US"/>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shd w:val="clear" w:color="auto" w:fill="FFFFFF"/>
        </w:rPr>
        <w:t>Hasan, R., Siraj, S. A., &amp; Mohamad, M. H. S. (2017). Antecedents and Outcome of Waqif's Trust  in  Waqf  Institution. Journal  of  Economic  Cooperation  &amp;  Development, 38(4), 155-179</w:t>
      </w:r>
    </w:p>
  </w:footnote>
  <w:footnote w:id="52">
    <w:p w:rsidR="00316CEF" w:rsidRPr="00F113C5" w:rsidRDefault="00316CEF" w:rsidP="00C2300E">
      <w:pPr>
        <w:pStyle w:val="FootnoteText"/>
        <w:ind w:firstLine="720"/>
        <w:jc w:val="both"/>
        <w:rPr>
          <w:rFonts w:ascii="Garamond" w:hAnsi="Garamond" w:cs="Times New Roman"/>
          <w:lang w:val="en-GB"/>
        </w:rPr>
      </w:pPr>
      <w:r w:rsidRPr="00F113C5">
        <w:rPr>
          <w:rStyle w:val="FootnoteReference"/>
          <w:rFonts w:ascii="Garamond" w:hAnsi="Garamond" w:cs="Times New Roman"/>
        </w:rPr>
        <w:footnoteRef/>
      </w:r>
      <w:r w:rsidRPr="00F113C5">
        <w:rPr>
          <w:rFonts w:ascii="Garamond" w:hAnsi="Garamond" w:cs="Times New Roman"/>
        </w:rPr>
        <w:t xml:space="preserve"> </w:t>
      </w:r>
      <w:r w:rsidRPr="00F113C5">
        <w:rPr>
          <w:rFonts w:ascii="Garamond" w:hAnsi="Garamond" w:cs="Times New Roman"/>
        </w:rPr>
        <w:fldChar w:fldCharType="begin" w:fldLock="1"/>
      </w:r>
      <w:r w:rsidRPr="00F113C5">
        <w:rPr>
          <w:rFonts w:ascii="Garamond" w:hAnsi="Garamond" w:cs="Times New Roman"/>
        </w:rPr>
        <w:instrText>ADDIN CSL_CITATION {"citationItems":[{"id":"ITEM-1","itemData":{"author":[{"dropping-particle":"","family":"Zaidah.Y","given":"","non-dropping-particle":"","parse-names":false,"suffix":""}],"container-title":"ATTARADHI: Jurnal Studi Islam","id":"ITEM-1","issue":"2","issued":{"date-parts":[["2012"]]},"page":"187–196","title":"Wakaf Tunai sebagai Alternatif Pemberdayaan Ekonomi Ummat Islam di Indonesia","type":"article-journal","volume":"3"},"uris":["http://www.mendeley.com/documents/?uuid=4844a513-4646-41d6-b852-a804ac885a5b"]}],"mendeley":{"formattedCitation":"Zaidah.Y, ‘Wakaf Tunai Sebagai Alternatif Pemberdayaan Ekonomi Ummat Islam Di Indonesia’, &lt;i&gt;ATTARADHI: Jurnal Studi Islam&lt;/i&gt;, 3.2 (2012), 187–196.","plainTextFormattedCitation":"Zaidah.Y, ‘Wakaf Tunai Sebagai Alternatif Pemberdayaan Ekonomi Ummat Islam Di Indonesia’, ATTARADHI: Jurnal Studi Islam, 3.2 (2012), 187–196.","previouslyFormattedCitation":"Zaidah.Y, ‘Wakaf Tunai Sebagai Alternatif Pemberdayaan Ekonomi Ummat Islam Di Indonesia’, &lt;i&gt;ATTARADHI: Jurnal Studi Islam&lt;/i&gt;, 3.2 (2012), 187–196."},"properties":{"noteIndex":51},"schema":"https://github.com/citation-style-language/schema/raw/master/csl-citation.json"}</w:instrText>
      </w:r>
      <w:r w:rsidRPr="00F113C5">
        <w:rPr>
          <w:rFonts w:ascii="Garamond" w:hAnsi="Garamond" w:cs="Times New Roman"/>
        </w:rPr>
        <w:fldChar w:fldCharType="separate"/>
      </w:r>
      <w:r w:rsidRPr="00F113C5">
        <w:rPr>
          <w:rFonts w:ascii="Garamond" w:hAnsi="Garamond" w:cs="Times New Roman"/>
          <w:noProof/>
        </w:rPr>
        <w:t xml:space="preserve">Zaidah.Y, ‘Wakaf Tunai Sebagai Alternatif Pemberdayaan Ekonomi Ummat Islam Di Indonesia’, </w:t>
      </w:r>
      <w:r w:rsidRPr="00F113C5">
        <w:rPr>
          <w:rFonts w:ascii="Garamond" w:hAnsi="Garamond" w:cs="Times New Roman"/>
          <w:i/>
          <w:noProof/>
        </w:rPr>
        <w:t>ATTARADHI: Jurnal Studi Islam</w:t>
      </w:r>
      <w:r w:rsidRPr="00F113C5">
        <w:rPr>
          <w:rFonts w:ascii="Garamond" w:hAnsi="Garamond" w:cs="Times New Roman"/>
          <w:noProof/>
        </w:rPr>
        <w:t>, 3.2 (2012), 187–196.</w:t>
      </w:r>
      <w:r w:rsidRPr="00F113C5">
        <w:rPr>
          <w:rFonts w:ascii="Garamond" w:hAnsi="Garamond" w:cs="Times New Roman"/>
        </w:rPr>
        <w:fldChar w:fldCharType="end"/>
      </w:r>
    </w:p>
  </w:footnote>
  <w:footnote w:id="53">
    <w:p w:rsidR="00DD79E1" w:rsidRPr="00FC1644" w:rsidRDefault="00DD79E1" w:rsidP="00DD79E1">
      <w:pPr>
        <w:pStyle w:val="FootnoteText"/>
        <w:rPr>
          <w:rFonts w:cs="Times New Roman"/>
          <w:lang w:val="en-US"/>
        </w:rPr>
      </w:pPr>
      <w:r w:rsidRPr="00FC1644">
        <w:rPr>
          <w:rStyle w:val="FootnoteReference"/>
          <w:rFonts w:cs="Times New Roman"/>
        </w:rPr>
        <w:footnoteRef/>
      </w:r>
      <w:r>
        <w:rPr>
          <w:rFonts w:cs="Times New Roman"/>
          <w:lang w:val="en-US"/>
        </w:rPr>
        <w:t xml:space="preserve"> </w:t>
      </w:r>
      <w:r>
        <w:rPr>
          <w:rFonts w:cs="Times New Roman"/>
          <w:lang w:val="en-US"/>
        </w:rPr>
        <w:fldChar w:fldCharType="begin"/>
      </w:r>
      <w:r>
        <w:rPr>
          <w:rFonts w:cs="Times New Roman"/>
          <w:lang w:val="en-US"/>
        </w:rPr>
        <w:instrText xml:space="preserve"> ADDIN ZOTERO_ITEM CSL_CITATION {"citationID":"WAH1MOQx","properties":{"formattedCitation":"Ulin Na\\uc0\\u8217{}mah, Rezki Suci Qamaria, and Hesti Ayu Makrufah, \\uc0\\u8220{}The Concept of Mub\\uc0\\u8113{}dalah (Mutuality) and the Public Role of Wife to Prevent Domestic Violence,\\uc0\\u8221{} {\\i{}Al-\\uc0\\u8217{}Adalah} 19, no. 2 (December 25, 2022): 291\\uc0\\u8211{}314, https://doi.org/10.24042/adalah.v19i2.13682.","plainCitation":"Ulin Na’mah, Rezki Suci Qamaria, and Hesti Ayu Makrufah, “The Concept of Mubᾱdalah (Mutuality) and the Public Role of Wife to Prevent Domestic Violence,” Al-’Adalah 19, no. 2 (December 25, 2022): 291–314, https://doi.org/10.24042/adalah.v19i2.13682.","noteIndex":53},"citationItems":[{"id":703,"uris":["http://zotero.org/users/10812976/items/S83QXR22"],"itemData":{"id":703,"type":"article-journal","abstract":"This research is motivated by an increase in data on complaints and acts of violence against women/housewives every year. For this reason, in this article, the author offers efforts to prevent domestic violence through a new perspective, namely Mubᾱdalah (mutuality). Mubᾱdalah is a concept formulated by Faqihuddin Abdul Kodir that can be applied in household life. In this study, the Mubᾱdalah concept is used as an effort to prevent domestic violence. This research is library research, which is research conducted using data sourced from the library. In this study, the author describes Faqihuddin Abdul Kodir's thoughts as the main basis for analyzing the public role of wives in preventing domestic violence. The conclusions obtained are: First, mubᾱdalah offers the concept of preventing domestic violence through three efforts, namely: instilling the mubadalah perspective on married couples, eliminating powerlessness or inequality in women, and changing the structure and culture in society. Second, the role of the wife in the public sphere is very important to prevent or minimize acts of violence in the household due to power relations or unequal relations between wives and husbands. Therefore, wives are encouraged not to depend on their husbands and to have a network of relationships that can become social support. in eliminating powerlessness and inequality of women in the public and domestic spheres.","container-title":"Al-'Adalah","DOI":"10.24042/adalah.v19i2.13682","ISSN":"2614-171X, 0854-1272","issue":"2","journalAbbreviation":"adalah","page":"291-314","source":"DOI.org (Crossref)","title":"The Concept of Mubᾱdalah (Mutuality) and the Public Role of Wife to Prevent Domestic Violence","volume":"19","author":[{"family":"Na’mah","given":"Ulin"},{"family":"Qamaria","given":"Rezki Suci"},{"family":"Makrufah","given":"Hesti Ayu"}],"issued":{"date-parts":[["2022",12,25]]}}}],"schema":"https://github.com/citation-style-language/schema/raw/master/csl-citation.json"} </w:instrText>
      </w:r>
      <w:r>
        <w:rPr>
          <w:rFonts w:cs="Times New Roman"/>
          <w:lang w:val="en-US"/>
        </w:rPr>
        <w:fldChar w:fldCharType="separate"/>
      </w:r>
      <w:r w:rsidRPr="00844B57">
        <w:rPr>
          <w:rFonts w:cs="Times New Roman"/>
        </w:rPr>
        <w:t xml:space="preserve">Ulin Na’mah, Rezki Suci Qamaria, and Hesti Ayu Makrufah, “The Concept of Mubᾱdalah (Mutuality) and the Public Role of Wife to Prevent Domestic Violence,” </w:t>
      </w:r>
      <w:r w:rsidRPr="00844B57">
        <w:rPr>
          <w:rFonts w:cs="Times New Roman"/>
          <w:i/>
          <w:iCs/>
        </w:rPr>
        <w:t>Al-’Adalah</w:t>
      </w:r>
      <w:r w:rsidRPr="00844B57">
        <w:rPr>
          <w:rFonts w:cs="Times New Roman"/>
        </w:rPr>
        <w:t xml:space="preserve"> 19, no. 2 (December 25, 2022): 291–314, https://doi.org/10.24042/adalah.v19i2.13682.</w:t>
      </w:r>
      <w:r>
        <w:rPr>
          <w:rFonts w:cs="Times New Roman"/>
          <w:lang w:val="en-US"/>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99" w:rsidRDefault="009847D7">
    <w:pPr>
      <w:pBdr>
        <w:top w:val="nil"/>
        <w:left w:val="nil"/>
        <w:bottom w:val="nil"/>
        <w:right w:val="nil"/>
        <w:between w:val="nil"/>
      </w:pBdr>
      <w:tabs>
        <w:tab w:val="center" w:pos="4680"/>
        <w:tab w:val="right" w:pos="9360"/>
      </w:tabs>
      <w:rPr>
        <w:rFonts w:ascii="Garamond" w:eastAsia="Garamond" w:hAnsi="Garamond" w:cs="Garamond"/>
        <w:color w:val="000000"/>
        <w:sz w:val="20"/>
        <w:szCs w:val="20"/>
      </w:rPr>
    </w:pPr>
    <w:r>
      <w:rPr>
        <w:rFonts w:ascii="Garamond" w:eastAsia="Garamond" w:hAnsi="Garamond" w:cs="Garamond"/>
        <w:color w:val="000000"/>
        <w:sz w:val="20"/>
        <w:szCs w:val="20"/>
      </w:rPr>
      <w:t xml:space="preserve">Al-Istinbath: Jurnal Hukum Islam, Vol. x, No. </w:t>
    </w:r>
    <w:proofErr w:type="gramStart"/>
    <w:r>
      <w:rPr>
        <w:rFonts w:ascii="Garamond" w:eastAsia="Garamond" w:hAnsi="Garamond" w:cs="Garamond"/>
        <w:color w:val="000000"/>
        <w:sz w:val="20"/>
        <w:szCs w:val="20"/>
      </w:rPr>
      <w:t>x, …</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99" w:rsidRDefault="009847D7">
    <w:pPr>
      <w:pBdr>
        <w:top w:val="nil"/>
        <w:left w:val="nil"/>
        <w:bottom w:val="nil"/>
        <w:right w:val="nil"/>
        <w:between w:val="nil"/>
      </w:pBdr>
      <w:tabs>
        <w:tab w:val="center" w:pos="4680"/>
        <w:tab w:val="right" w:pos="9360"/>
      </w:tabs>
      <w:jc w:val="right"/>
      <w:rPr>
        <w:rFonts w:ascii="Garamond" w:eastAsia="Garamond" w:hAnsi="Garamond" w:cs="Garamond"/>
        <w:color w:val="000000"/>
        <w:sz w:val="20"/>
        <w:szCs w:val="20"/>
      </w:rPr>
    </w:pPr>
    <w:r>
      <w:rPr>
        <w:rFonts w:ascii="Garamond" w:eastAsia="Garamond" w:hAnsi="Garamond" w:cs="Garamond"/>
        <w:color w:val="000000"/>
        <w:sz w:val="20"/>
        <w:szCs w:val="20"/>
      </w:rPr>
      <w:t>Author name….: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399" w:rsidRDefault="00215399">
    <w:pPr>
      <w:widowControl w:val="0"/>
      <w:pBdr>
        <w:top w:val="nil"/>
        <w:left w:val="nil"/>
        <w:bottom w:val="nil"/>
        <w:right w:val="nil"/>
        <w:between w:val="nil"/>
      </w:pBdr>
      <w:spacing w:after="0"/>
      <w:rPr>
        <w:rFonts w:ascii="Garamond" w:eastAsia="Garamond" w:hAnsi="Garamond" w:cs="Garamond"/>
        <w:color w:val="000000"/>
        <w:sz w:val="20"/>
        <w:szCs w:val="20"/>
      </w:rPr>
    </w:pPr>
  </w:p>
  <w:tbl>
    <w:tblPr>
      <w:tblStyle w:val="a1"/>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71"/>
      <w:gridCol w:w="4362"/>
    </w:tblGrid>
    <w:tr w:rsidR="00215399">
      <w:tc>
        <w:tcPr>
          <w:tcW w:w="2880" w:type="dxa"/>
        </w:tcPr>
        <w:p w:rsidR="00215399" w:rsidRDefault="009847D7">
          <w:pPr>
            <w:rPr>
              <w:rFonts w:ascii="Cambria" w:eastAsia="Cambria" w:hAnsi="Cambria" w:cs="Cambria"/>
              <w:b/>
              <w:sz w:val="40"/>
              <w:szCs w:val="40"/>
              <w:u w:val="single"/>
            </w:rPr>
          </w:pPr>
          <w:r>
            <w:rPr>
              <w:rFonts w:ascii="Cambria" w:eastAsia="Cambria" w:hAnsi="Cambria" w:cs="Cambria"/>
              <w:b/>
              <w:sz w:val="40"/>
              <w:szCs w:val="40"/>
              <w:u w:val="single"/>
            </w:rPr>
            <w:t>Al-Istinbath</w:t>
          </w:r>
        </w:p>
        <w:p w:rsidR="00215399" w:rsidRDefault="009847D7">
          <w:pPr>
            <w:rPr>
              <w:rFonts w:ascii="Cambria" w:eastAsia="Cambria" w:hAnsi="Cambria" w:cs="Cambria"/>
              <w:sz w:val="40"/>
              <w:szCs w:val="40"/>
            </w:rPr>
          </w:pPr>
          <w:r>
            <w:rPr>
              <w:rFonts w:ascii="Cambria" w:eastAsia="Cambria" w:hAnsi="Cambria" w:cs="Cambria"/>
              <w:sz w:val="26"/>
              <w:szCs w:val="26"/>
            </w:rPr>
            <w:t>Jurnal Hukum Islam</w:t>
          </w:r>
        </w:p>
      </w:tc>
      <w:tc>
        <w:tcPr>
          <w:tcW w:w="271" w:type="dxa"/>
        </w:tcPr>
        <w:p w:rsidR="00215399" w:rsidRDefault="00215399">
          <w:pPr>
            <w:rPr>
              <w:rFonts w:ascii="Garamond" w:eastAsia="Garamond" w:hAnsi="Garamond" w:cs="Garamond"/>
            </w:rPr>
          </w:pPr>
        </w:p>
      </w:tc>
      <w:tc>
        <w:tcPr>
          <w:tcW w:w="4362" w:type="dxa"/>
        </w:tcPr>
        <w:p w:rsidR="00215399" w:rsidRDefault="009847D7">
          <w:pPr>
            <w:tabs>
              <w:tab w:val="left" w:pos="1350"/>
              <w:tab w:val="right" w:pos="7483"/>
            </w:tabs>
            <w:jc w:val="right"/>
            <w:rPr>
              <w:rFonts w:ascii="Garamond" w:eastAsia="Garamond" w:hAnsi="Garamond" w:cs="Garamond"/>
              <w:sz w:val="20"/>
              <w:szCs w:val="20"/>
            </w:rPr>
          </w:pPr>
          <w:r>
            <w:rPr>
              <w:rFonts w:ascii="Garamond" w:eastAsia="Garamond" w:hAnsi="Garamond" w:cs="Garamond"/>
              <w:sz w:val="20"/>
              <w:szCs w:val="20"/>
            </w:rPr>
            <w:t xml:space="preserve">Vol. x. No. </w:t>
          </w:r>
          <w:proofErr w:type="gramStart"/>
          <w:r>
            <w:rPr>
              <w:rFonts w:ascii="Garamond" w:eastAsia="Garamond" w:hAnsi="Garamond" w:cs="Garamond"/>
              <w:sz w:val="20"/>
              <w:szCs w:val="20"/>
            </w:rPr>
            <w:t>x, … ….</w:t>
          </w:r>
          <w:proofErr w:type="gramEnd"/>
        </w:p>
        <w:p w:rsidR="00215399" w:rsidRDefault="009847D7">
          <w:pPr>
            <w:tabs>
              <w:tab w:val="left" w:pos="1350"/>
              <w:tab w:val="right" w:pos="7483"/>
            </w:tabs>
            <w:jc w:val="right"/>
            <w:rPr>
              <w:rFonts w:ascii="Garamond" w:eastAsia="Garamond" w:hAnsi="Garamond" w:cs="Garamond"/>
              <w:sz w:val="20"/>
              <w:szCs w:val="20"/>
            </w:rPr>
          </w:pPr>
          <w:r>
            <w:rPr>
              <w:rFonts w:ascii="Garamond" w:eastAsia="Garamond" w:hAnsi="Garamond" w:cs="Garamond"/>
              <w:sz w:val="20"/>
              <w:szCs w:val="20"/>
            </w:rPr>
            <w:t>P-ISSN: 2548-3374 (p), 25483382 (e)</w:t>
          </w:r>
        </w:p>
        <w:p w:rsidR="00215399" w:rsidRDefault="009847D7">
          <w:pPr>
            <w:tabs>
              <w:tab w:val="left" w:pos="1350"/>
              <w:tab w:val="right" w:pos="7483"/>
            </w:tabs>
            <w:jc w:val="right"/>
            <w:rPr>
              <w:rFonts w:ascii="Garamond" w:eastAsia="Garamond" w:hAnsi="Garamond" w:cs="Garamond"/>
              <w:sz w:val="20"/>
              <w:szCs w:val="20"/>
            </w:rPr>
          </w:pPr>
          <w:r>
            <w:rPr>
              <w:rFonts w:ascii="Garamond" w:eastAsia="Garamond" w:hAnsi="Garamond" w:cs="Garamond"/>
              <w:sz w:val="20"/>
              <w:szCs w:val="20"/>
            </w:rPr>
            <w:t>http://journal.iaincurup.ac.id/index.php/alistinbath</w:t>
          </w:r>
        </w:p>
      </w:tc>
    </w:tr>
  </w:tbl>
  <w:p w:rsidR="00215399" w:rsidRDefault="00215399">
    <w:pPr>
      <w:pBdr>
        <w:top w:val="nil"/>
        <w:left w:val="nil"/>
        <w:bottom w:val="nil"/>
        <w:right w:val="nil"/>
        <w:between w:val="nil"/>
      </w:pBdr>
      <w:tabs>
        <w:tab w:val="center" w:pos="4680"/>
        <w:tab w:val="right" w:pos="9360"/>
        <w:tab w:val="left" w:pos="542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53FD"/>
    <w:multiLevelType w:val="hybridMultilevel"/>
    <w:tmpl w:val="A9F826A0"/>
    <w:lvl w:ilvl="0" w:tplc="08FE4D38">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15399"/>
    <w:rsid w:val="00013AC0"/>
    <w:rsid w:val="000D4F4D"/>
    <w:rsid w:val="000E012A"/>
    <w:rsid w:val="000E62E4"/>
    <w:rsid w:val="000F2411"/>
    <w:rsid w:val="00171505"/>
    <w:rsid w:val="001F42F6"/>
    <w:rsid w:val="00215399"/>
    <w:rsid w:val="00275E02"/>
    <w:rsid w:val="002C33CC"/>
    <w:rsid w:val="002D7955"/>
    <w:rsid w:val="002E43A8"/>
    <w:rsid w:val="00316CEF"/>
    <w:rsid w:val="003249BB"/>
    <w:rsid w:val="003F163B"/>
    <w:rsid w:val="004152B9"/>
    <w:rsid w:val="00486EF5"/>
    <w:rsid w:val="004F3046"/>
    <w:rsid w:val="00516D8E"/>
    <w:rsid w:val="0054068C"/>
    <w:rsid w:val="00575BED"/>
    <w:rsid w:val="00593211"/>
    <w:rsid w:val="005C7DB4"/>
    <w:rsid w:val="005D16F8"/>
    <w:rsid w:val="005F5D41"/>
    <w:rsid w:val="006059D8"/>
    <w:rsid w:val="006605B1"/>
    <w:rsid w:val="006655A3"/>
    <w:rsid w:val="006B17BF"/>
    <w:rsid w:val="007054FE"/>
    <w:rsid w:val="007C0A14"/>
    <w:rsid w:val="008E1C9A"/>
    <w:rsid w:val="008E554C"/>
    <w:rsid w:val="00914E2B"/>
    <w:rsid w:val="00926621"/>
    <w:rsid w:val="009847D7"/>
    <w:rsid w:val="009F2030"/>
    <w:rsid w:val="00A03B5D"/>
    <w:rsid w:val="00A306C9"/>
    <w:rsid w:val="00A91BCC"/>
    <w:rsid w:val="00AB6D66"/>
    <w:rsid w:val="00AF71DD"/>
    <w:rsid w:val="00B84B15"/>
    <w:rsid w:val="00C2300E"/>
    <w:rsid w:val="00C2521F"/>
    <w:rsid w:val="00C37BF4"/>
    <w:rsid w:val="00D22E5E"/>
    <w:rsid w:val="00D81A50"/>
    <w:rsid w:val="00DD79E1"/>
    <w:rsid w:val="00DE1204"/>
    <w:rsid w:val="00DE41F9"/>
    <w:rsid w:val="00DF30AE"/>
    <w:rsid w:val="00DF570F"/>
    <w:rsid w:val="00DF5C26"/>
    <w:rsid w:val="00E44AFC"/>
    <w:rsid w:val="00E67DDF"/>
    <w:rsid w:val="00F113C5"/>
    <w:rsid w:val="00F6559E"/>
    <w:rsid w:val="00F77A48"/>
    <w:rsid w:val="00F94751"/>
    <w:rsid w:val="00FC2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AF71DD"/>
    <w:rPr>
      <w:i/>
      <w:iCs/>
    </w:rPr>
  </w:style>
  <w:style w:type="character" w:styleId="FootnoteReference">
    <w:name w:val="footnote reference"/>
    <w:basedOn w:val="DefaultParagraphFont"/>
    <w:uiPriority w:val="99"/>
    <w:unhideWhenUsed/>
    <w:rsid w:val="00AF71DD"/>
    <w:rPr>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Char,Footnote Text Char Char,Char Char Char Char,Cha"/>
    <w:basedOn w:val="Normal"/>
    <w:link w:val="FootnoteTextChar"/>
    <w:uiPriority w:val="99"/>
    <w:unhideWhenUsed/>
    <w:qFormat/>
    <w:rsid w:val="00AF71DD"/>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Cha Char"/>
    <w:basedOn w:val="DefaultParagraphFont"/>
    <w:link w:val="FootnoteText"/>
    <w:uiPriority w:val="99"/>
    <w:qFormat/>
    <w:rsid w:val="00AF71DD"/>
    <w:rPr>
      <w:rFonts w:asciiTheme="minorHAnsi" w:eastAsiaTheme="minorHAnsi" w:hAnsiTheme="minorHAnsi" w:cstheme="minorBidi"/>
      <w:sz w:val="20"/>
      <w:szCs w:val="20"/>
      <w:lang w:val="id-ID"/>
    </w:rPr>
  </w:style>
  <w:style w:type="character" w:styleId="Hyperlink">
    <w:name w:val="Hyperlink"/>
    <w:basedOn w:val="DefaultParagraphFont"/>
    <w:uiPriority w:val="99"/>
    <w:unhideWhenUsed/>
    <w:rsid w:val="00AF71DD"/>
    <w:rPr>
      <w:color w:val="0000FF"/>
      <w:u w:val="single"/>
    </w:rPr>
  </w:style>
  <w:style w:type="paragraph" w:styleId="ListParagraph">
    <w:name w:val="List Paragraph"/>
    <w:aliases w:val="Body of text"/>
    <w:basedOn w:val="Normal"/>
    <w:link w:val="ListParagraphChar"/>
    <w:uiPriority w:val="1"/>
    <w:qFormat/>
    <w:rsid w:val="00316CEF"/>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1"/>
    <w:locked/>
    <w:rsid w:val="00316CEF"/>
    <w:rPr>
      <w:rFonts w:asciiTheme="minorHAnsi" w:eastAsiaTheme="minorHAnsi" w:hAnsiTheme="minorHAnsi" w:cstheme="minorBidi"/>
    </w:rPr>
  </w:style>
  <w:style w:type="paragraph" w:styleId="BodyText">
    <w:name w:val="Body Text"/>
    <w:basedOn w:val="Normal"/>
    <w:link w:val="BodyTextChar"/>
    <w:uiPriority w:val="1"/>
    <w:qFormat/>
    <w:rsid w:val="00316C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6CE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AF71DD"/>
    <w:rPr>
      <w:i/>
      <w:iCs/>
    </w:rPr>
  </w:style>
  <w:style w:type="character" w:styleId="FootnoteReference">
    <w:name w:val="footnote reference"/>
    <w:basedOn w:val="DefaultParagraphFont"/>
    <w:uiPriority w:val="99"/>
    <w:unhideWhenUsed/>
    <w:rsid w:val="00AF71DD"/>
    <w:rPr>
      <w:vertAlign w:val="superscript"/>
    </w:rPr>
  </w:style>
  <w:style w:type="paragraph" w:styleId="FootnoteText">
    <w:name w:val="footnote text"/>
    <w:aliases w:val="Footnote Text Char1 Char,Footnote Text Char Char1 Char,Footnote Text Char1 Char Char Char,Footnote Text Char Char1 Char Char Char,Footnote Text Char Char2 Char,Footnote Text Char1 Char1,Char,Footnote Text Char Char,Char Char Char Char,Cha"/>
    <w:basedOn w:val="Normal"/>
    <w:link w:val="FootnoteTextChar"/>
    <w:uiPriority w:val="99"/>
    <w:unhideWhenUsed/>
    <w:qFormat/>
    <w:rsid w:val="00AF71DD"/>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Cha Char"/>
    <w:basedOn w:val="DefaultParagraphFont"/>
    <w:link w:val="FootnoteText"/>
    <w:uiPriority w:val="99"/>
    <w:qFormat/>
    <w:rsid w:val="00AF71DD"/>
    <w:rPr>
      <w:rFonts w:asciiTheme="minorHAnsi" w:eastAsiaTheme="minorHAnsi" w:hAnsiTheme="minorHAnsi" w:cstheme="minorBidi"/>
      <w:sz w:val="20"/>
      <w:szCs w:val="20"/>
      <w:lang w:val="id-ID"/>
    </w:rPr>
  </w:style>
  <w:style w:type="character" w:styleId="Hyperlink">
    <w:name w:val="Hyperlink"/>
    <w:basedOn w:val="DefaultParagraphFont"/>
    <w:uiPriority w:val="99"/>
    <w:unhideWhenUsed/>
    <w:rsid w:val="00AF71DD"/>
    <w:rPr>
      <w:color w:val="0000FF"/>
      <w:u w:val="single"/>
    </w:rPr>
  </w:style>
  <w:style w:type="paragraph" w:styleId="ListParagraph">
    <w:name w:val="List Paragraph"/>
    <w:aliases w:val="Body of text"/>
    <w:basedOn w:val="Normal"/>
    <w:link w:val="ListParagraphChar"/>
    <w:uiPriority w:val="1"/>
    <w:qFormat/>
    <w:rsid w:val="00316CEF"/>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uiPriority w:val="1"/>
    <w:locked/>
    <w:rsid w:val="00316CEF"/>
    <w:rPr>
      <w:rFonts w:asciiTheme="minorHAnsi" w:eastAsiaTheme="minorHAnsi" w:hAnsiTheme="minorHAnsi" w:cstheme="minorBidi"/>
    </w:rPr>
  </w:style>
  <w:style w:type="paragraph" w:styleId="BodyText">
    <w:name w:val="Body Text"/>
    <w:basedOn w:val="Normal"/>
    <w:link w:val="BodyTextChar"/>
    <w:uiPriority w:val="1"/>
    <w:qFormat/>
    <w:rsid w:val="00316C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6C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doi.org/10.24042/as-siyasi.v1i1.896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i.org/10.24042/as-siyasi.v1i1.8960" TargetMode="External"/><Relationship Id="rId1" Type="http://schemas.openxmlformats.org/officeDocument/2006/relationships/hyperlink" Target="https://www.bwi.go.id/8706/2023/04/16/indeks-wakaf-nasiona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qLuPV7AT8Q1rHTht42RY6HnzQ==">CgMxLjAyCGguZ2pkZ3hzOAByITFqOFppSTNJZXAta2NaM1hMN0ZpZ2ZFWmNFUnNucnpqXw==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0C9D43-775A-4AAE-AEAA-C65B07E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6653</Words>
  <Characters>37925</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Hukum Tata Negara</dc:creator>
  <cp:lastModifiedBy>Microsoft</cp:lastModifiedBy>
  <cp:revision>42</cp:revision>
  <dcterms:created xsi:type="dcterms:W3CDTF">2024-01-03T05:32:00Z</dcterms:created>
  <dcterms:modified xsi:type="dcterms:W3CDTF">2024-01-03T13:06:00Z</dcterms:modified>
</cp:coreProperties>
</file>