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1EA" w:rsidRDefault="000E660C" w:rsidP="009851EA">
      <w:pPr>
        <w:spacing w:after="0" w:line="240" w:lineRule="auto"/>
        <w:jc w:val="center"/>
        <w:rPr>
          <w:rFonts w:ascii="Garamond" w:hAnsi="Garamond" w:cs="Times New Roman"/>
          <w:b/>
          <w:sz w:val="28"/>
        </w:rPr>
      </w:pPr>
      <w:r w:rsidRPr="000E660C">
        <w:rPr>
          <w:rFonts w:ascii="Garamond" w:hAnsi="Garamond" w:cs="Times New Roman"/>
          <w:b/>
          <w:sz w:val="28"/>
        </w:rPr>
        <w:t>Menyoal Fenomena Penetapan Hakim Pengadilan Negeri tentang Kebolehan Perkawinan antara Pria Non Muslim dengan Wanita Muslim d</w:t>
      </w:r>
      <w:bookmarkStart w:id="0" w:name="_GoBack"/>
      <w:bookmarkEnd w:id="0"/>
      <w:r w:rsidRPr="000E660C">
        <w:rPr>
          <w:rFonts w:ascii="Garamond" w:hAnsi="Garamond" w:cs="Times New Roman"/>
          <w:b/>
          <w:sz w:val="28"/>
        </w:rPr>
        <w:t>alam Perspektif Logika Hukum</w:t>
      </w:r>
    </w:p>
    <w:p w:rsidR="000E660C" w:rsidRDefault="000E660C" w:rsidP="009851EA">
      <w:pPr>
        <w:spacing w:after="0" w:line="240" w:lineRule="auto"/>
        <w:jc w:val="center"/>
        <w:rPr>
          <w:rFonts w:ascii="Garamond" w:hAnsi="Garamond" w:cs="Times New Roman"/>
          <w:b/>
        </w:rPr>
      </w:pPr>
    </w:p>
    <w:p w:rsidR="009851EA" w:rsidRPr="007043AC" w:rsidRDefault="009851EA" w:rsidP="009851EA">
      <w:pPr>
        <w:spacing w:after="0" w:line="240" w:lineRule="auto"/>
        <w:jc w:val="center"/>
        <w:rPr>
          <w:rFonts w:ascii="Garamond" w:hAnsi="Garamond" w:cs="Times New Roman"/>
          <w:vertAlign w:val="superscript"/>
        </w:rPr>
      </w:pPr>
      <w:r w:rsidRPr="007043AC">
        <w:rPr>
          <w:rFonts w:ascii="Garamond" w:hAnsi="Garamond" w:cs="Times New Roman"/>
          <w:b/>
        </w:rPr>
        <w:t>Kemas Muhammad Gemilang</w:t>
      </w:r>
    </w:p>
    <w:p w:rsidR="009851EA" w:rsidRPr="007043AC" w:rsidRDefault="009851EA" w:rsidP="009851EA">
      <w:pPr>
        <w:spacing w:after="0" w:line="240" w:lineRule="auto"/>
        <w:jc w:val="center"/>
        <w:rPr>
          <w:rFonts w:ascii="Garamond" w:hAnsi="Garamond" w:cs="Times New Roman"/>
        </w:rPr>
      </w:pPr>
      <w:r w:rsidRPr="007043AC">
        <w:rPr>
          <w:rFonts w:ascii="Garamond" w:hAnsi="Garamond" w:cs="Times New Roman"/>
        </w:rPr>
        <w:t>Universitas Islam Negeri Sultan Syarif Kasim Riau</w:t>
      </w:r>
    </w:p>
    <w:p w:rsidR="002A316E" w:rsidRPr="009851EA" w:rsidRDefault="0055727A" w:rsidP="009851EA">
      <w:pPr>
        <w:jc w:val="center"/>
        <w:rPr>
          <w:rFonts w:ascii="Garamond" w:hAnsi="Garamond"/>
          <w:sz w:val="24"/>
          <w:szCs w:val="24"/>
        </w:rPr>
      </w:pPr>
      <w:hyperlink r:id="rId8" w:history="1">
        <w:r w:rsidR="009851EA" w:rsidRPr="007043AC">
          <w:rPr>
            <w:rStyle w:val="Hyperlink"/>
            <w:rFonts w:ascii="Garamond" w:hAnsi="Garamond" w:cs="Times New Roman"/>
          </w:rPr>
          <w:t>kemas.muhammad.gemilang@uin-suska.ac.id</w:t>
        </w:r>
      </w:hyperlink>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40"/>
        <w:gridCol w:w="912"/>
        <w:gridCol w:w="2495"/>
        <w:gridCol w:w="2428"/>
      </w:tblGrid>
      <w:tr w:rsidR="002A316E" w:rsidRPr="008D292B" w:rsidTr="00A44C84">
        <w:trPr>
          <w:trHeight w:val="301"/>
        </w:trPr>
        <w:tc>
          <w:tcPr>
            <w:tcW w:w="7513" w:type="dxa"/>
            <w:gridSpan w:val="4"/>
            <w:tcBorders>
              <w:left w:val="nil"/>
              <w:right w:val="nil"/>
            </w:tcBorders>
            <w:hideMark/>
          </w:tcPr>
          <w:p w:rsidR="002A316E" w:rsidRPr="00014317" w:rsidRDefault="002A316E" w:rsidP="003363B0">
            <w:pPr>
              <w:spacing w:after="120" w:line="240" w:lineRule="auto"/>
              <w:rPr>
                <w:rFonts w:ascii="Garamond" w:hAnsi="Garamond"/>
                <w:sz w:val="20"/>
                <w:szCs w:val="20"/>
                <w:lang w:eastAsia="en-ID"/>
              </w:rPr>
            </w:pPr>
            <w:r w:rsidRPr="00014317">
              <w:rPr>
                <w:rFonts w:ascii="Garamond" w:hAnsi="Garamond"/>
                <w:sz w:val="20"/>
                <w:szCs w:val="20"/>
                <w:lang w:eastAsia="en-ID"/>
              </w:rPr>
              <w:t xml:space="preserve">DOI: </w:t>
            </w:r>
            <w:r w:rsidR="003363B0">
              <w:rPr>
                <w:rFonts w:ascii="Garamond" w:hAnsi="Garamond"/>
                <w:sz w:val="20"/>
                <w:szCs w:val="20"/>
                <w:lang w:eastAsia="en-ID"/>
              </w:rPr>
              <w:t>xxx</w:t>
            </w:r>
          </w:p>
        </w:tc>
      </w:tr>
      <w:tr w:rsidR="002A316E" w:rsidRPr="008D292B" w:rsidTr="00E52F1E">
        <w:trPr>
          <w:trHeight w:val="249"/>
        </w:trPr>
        <w:tc>
          <w:tcPr>
            <w:tcW w:w="2498" w:type="dxa"/>
            <w:gridSpan w:val="2"/>
            <w:tcBorders>
              <w:left w:val="nil"/>
            </w:tcBorders>
            <w:hideMark/>
          </w:tcPr>
          <w:p w:rsidR="002A316E" w:rsidRPr="00014317" w:rsidRDefault="009851EA" w:rsidP="009851EA">
            <w:pPr>
              <w:spacing w:after="120" w:line="240" w:lineRule="auto"/>
              <w:rPr>
                <w:rFonts w:ascii="Garamond" w:hAnsi="Garamond"/>
                <w:sz w:val="20"/>
                <w:szCs w:val="20"/>
                <w:lang w:eastAsia="en-ID"/>
              </w:rPr>
            </w:pPr>
            <w:r>
              <w:rPr>
                <w:rFonts w:ascii="Garamond" w:hAnsi="Garamond"/>
                <w:sz w:val="20"/>
                <w:szCs w:val="20"/>
                <w:lang w:eastAsia="en-ID"/>
              </w:rPr>
              <w:t>Received: 09-08-2023</w:t>
            </w:r>
          </w:p>
        </w:tc>
        <w:tc>
          <w:tcPr>
            <w:tcW w:w="2544" w:type="dxa"/>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 xml:space="preserve">Revised: </w:t>
            </w:r>
            <w:r w:rsidR="00C33863">
              <w:rPr>
                <w:rFonts w:ascii="Garamond" w:hAnsi="Garamond"/>
                <w:sz w:val="20"/>
                <w:szCs w:val="20"/>
                <w:lang w:eastAsia="en-ID"/>
              </w:rPr>
              <w:t>09-08-2023</w:t>
            </w:r>
          </w:p>
        </w:tc>
        <w:tc>
          <w:tcPr>
            <w:tcW w:w="2471" w:type="dxa"/>
            <w:tcBorders>
              <w:right w:val="nil"/>
            </w:tcBorders>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 xml:space="preserve">Accepted: </w:t>
            </w:r>
            <w:r w:rsidR="00C33863">
              <w:rPr>
                <w:rFonts w:ascii="Garamond" w:hAnsi="Garamond"/>
                <w:sz w:val="20"/>
                <w:szCs w:val="20"/>
                <w:lang w:eastAsia="en-ID"/>
              </w:rPr>
              <w:t>09-08-2023</w:t>
            </w:r>
          </w:p>
        </w:tc>
      </w:tr>
      <w:tr w:rsidR="002A316E" w:rsidRPr="008D292B" w:rsidTr="00A44C84">
        <w:trPr>
          <w:trHeight w:val="282"/>
        </w:trPr>
        <w:tc>
          <w:tcPr>
            <w:tcW w:w="1560" w:type="dxa"/>
            <w:tcBorders>
              <w:left w:val="nil"/>
            </w:tcBorders>
          </w:tcPr>
          <w:p w:rsidR="002A316E" w:rsidRDefault="002A316E" w:rsidP="00E52F1E">
            <w:pPr>
              <w:spacing w:after="120" w:line="240" w:lineRule="auto"/>
              <w:rPr>
                <w:rFonts w:ascii="Garamond" w:hAnsi="Garamond"/>
                <w:lang w:eastAsia="en-ID"/>
              </w:rPr>
            </w:pPr>
            <w:r w:rsidRPr="00281B6E">
              <w:rPr>
                <w:rFonts w:ascii="Garamond" w:hAnsi="Garamond"/>
                <w:sz w:val="20"/>
                <w:szCs w:val="20"/>
                <w:lang w:eastAsia="en-ID"/>
              </w:rPr>
              <w:t>Cite this article:</w:t>
            </w:r>
          </w:p>
        </w:tc>
        <w:tc>
          <w:tcPr>
            <w:tcW w:w="5953" w:type="dxa"/>
            <w:gridSpan w:val="3"/>
          </w:tcPr>
          <w:p w:rsidR="0055557A" w:rsidRDefault="0055557A" w:rsidP="0055557A">
            <w:pPr>
              <w:spacing w:after="120" w:line="240" w:lineRule="auto"/>
              <w:jc w:val="both"/>
              <w:rPr>
                <w:rFonts w:ascii="Garamond" w:hAnsi="Garamond"/>
                <w:color w:val="111111"/>
                <w:sz w:val="20"/>
                <w:szCs w:val="20"/>
                <w:shd w:val="clear" w:color="auto" w:fill="FFFFFF"/>
              </w:rPr>
            </w:pPr>
            <w:r w:rsidRPr="0055557A">
              <w:rPr>
                <w:rFonts w:ascii="Garamond" w:hAnsi="Garamond"/>
                <w:color w:val="111111"/>
                <w:sz w:val="20"/>
                <w:szCs w:val="20"/>
                <w:shd w:val="clear" w:color="auto" w:fill="FFFFFF"/>
              </w:rPr>
              <w:t>Left empty</w:t>
            </w:r>
          </w:p>
          <w:p w:rsidR="0055557A" w:rsidRDefault="0055557A" w:rsidP="0055557A">
            <w:pPr>
              <w:spacing w:after="120" w:line="240" w:lineRule="auto"/>
              <w:jc w:val="both"/>
              <w:rPr>
                <w:rFonts w:ascii="Garamond" w:hAnsi="Garamond"/>
                <w:color w:val="111111"/>
                <w:sz w:val="20"/>
                <w:szCs w:val="20"/>
                <w:shd w:val="clear" w:color="auto" w:fill="FFFFFF"/>
              </w:rPr>
            </w:pPr>
          </w:p>
          <w:p w:rsidR="0055557A" w:rsidRPr="0055557A" w:rsidRDefault="0055557A" w:rsidP="0055557A">
            <w:pPr>
              <w:spacing w:after="120" w:line="240" w:lineRule="auto"/>
              <w:jc w:val="both"/>
              <w:rPr>
                <w:rFonts w:ascii="Garamond" w:hAnsi="Garamond"/>
                <w:color w:val="111111"/>
                <w:sz w:val="20"/>
                <w:szCs w:val="20"/>
                <w:shd w:val="clear" w:color="auto" w:fill="FFFFFF"/>
              </w:rPr>
            </w:pPr>
          </w:p>
        </w:tc>
      </w:tr>
    </w:tbl>
    <w:p w:rsidR="006A7EA6" w:rsidRDefault="006A7EA6" w:rsidP="003363B0">
      <w:pPr>
        <w:spacing w:before="240" w:after="0" w:line="240" w:lineRule="auto"/>
        <w:jc w:val="center"/>
        <w:rPr>
          <w:rFonts w:ascii="Garamond" w:hAnsi="Garamond"/>
          <w:b/>
          <w:sz w:val="24"/>
          <w:szCs w:val="24"/>
        </w:rPr>
      </w:pPr>
      <w:r>
        <w:rPr>
          <w:rFonts w:ascii="Garamond" w:hAnsi="Garamond"/>
          <w:b/>
          <w:sz w:val="24"/>
          <w:szCs w:val="24"/>
        </w:rPr>
        <w:t>Abstract</w:t>
      </w:r>
    </w:p>
    <w:p w:rsidR="00C33863" w:rsidRPr="00C33863" w:rsidRDefault="00C33863" w:rsidP="00201FC5">
      <w:pPr>
        <w:spacing w:line="240" w:lineRule="auto"/>
        <w:ind w:left="360" w:right="373"/>
        <w:jc w:val="both"/>
        <w:rPr>
          <w:rFonts w:ascii="Garamond" w:hAnsi="Garamond" w:cs="Times New Roman"/>
          <w:sz w:val="24"/>
        </w:rPr>
      </w:pPr>
      <w:r w:rsidRPr="00C33863">
        <w:rPr>
          <w:rFonts w:ascii="Garamond" w:hAnsi="Garamond" w:cs="Times New Roman"/>
          <w:sz w:val="24"/>
        </w:rPr>
        <w:t xml:space="preserve">This study aims to read the laws and regulations on interfaith marriages in Indonesia from the perspective of legal logical reasoning, so that judges can see more deeply how the will of the law exists and not just interpret the law subjectively. In addition, looking at the authority of the District Court Judge who takes a role in enforcing the law on different religions. This research is a normative-qualitative research using statutory and bibliographical documents in the form of books, journals, reports and other reliable sources which are analyzed by logical legal reasoning to obtain legal will and constitutional purposes. Based on these findings, the law of reasoning in reading statutory regulations shows that the law of the will of interfaith marriage is prohibited. This can be seen in the objectives of the Indonesian constitution in the fourth paragraph of the 1945 Constitution, the Judicial Power Law in Article 5 and Article 50. The purpose of the constitution is the foundation that must exist in every judge's decision. This decision not only embodies eternal peace and a sense of justice for the parties, but also for society in general or for the majority of the Indonesian Muslim community. As for the decision of the Supreme Court Number 1400 K/Pdt/1986 that the authority in resolving cases of interfaith marriages is the District Court, however the decision was not quite right after the issuance of the Constitutional Court Decision Number 68/PUU-XII/2014 which states that interfaith marriages are related closely related to religion. So the authority in resolving cases of interfaith marriages must be taken by the Religious Courts. This is also in </w:t>
      </w:r>
      <w:r w:rsidRPr="00C33863">
        <w:rPr>
          <w:rFonts w:ascii="Garamond" w:hAnsi="Garamond" w:cs="Times New Roman"/>
          <w:sz w:val="24"/>
        </w:rPr>
        <w:lastRenderedPageBreak/>
        <w:t>accordance with Article 49 of the Religious Courts Law Number 3 of 2006 which states that one of its authorities is marriage.</w:t>
      </w:r>
    </w:p>
    <w:p w:rsidR="005A0886" w:rsidRDefault="005A0886" w:rsidP="00201FC5">
      <w:pPr>
        <w:spacing w:before="120" w:after="0" w:line="240" w:lineRule="auto"/>
        <w:ind w:left="360" w:right="567"/>
        <w:jc w:val="both"/>
        <w:rPr>
          <w:rFonts w:ascii="Garamond" w:hAnsi="Garamond" w:cs="Times New Roman"/>
          <w:sz w:val="24"/>
        </w:rPr>
      </w:pPr>
      <w:r w:rsidRPr="005A0886">
        <w:rPr>
          <w:rFonts w:ascii="Garamond" w:hAnsi="Garamond"/>
          <w:b/>
          <w:sz w:val="24"/>
          <w:szCs w:val="24"/>
        </w:rPr>
        <w:t>Keywords</w:t>
      </w:r>
      <w:r w:rsidR="00F46CCA">
        <w:rPr>
          <w:rFonts w:ascii="Garamond" w:hAnsi="Garamond"/>
          <w:sz w:val="24"/>
          <w:szCs w:val="24"/>
        </w:rPr>
        <w:t xml:space="preserve">: </w:t>
      </w:r>
      <w:r w:rsidR="00C33863" w:rsidRPr="00C33863">
        <w:rPr>
          <w:rFonts w:ascii="Garamond" w:hAnsi="Garamond" w:cs="Times New Roman"/>
          <w:sz w:val="24"/>
        </w:rPr>
        <w:t>Interfaith marriage, judge determination, legal logic</w:t>
      </w:r>
    </w:p>
    <w:p w:rsidR="0053290A" w:rsidRDefault="0053290A" w:rsidP="006A7EA6">
      <w:pPr>
        <w:spacing w:before="120" w:after="0" w:line="240" w:lineRule="auto"/>
        <w:ind w:left="567" w:right="567"/>
        <w:jc w:val="both"/>
        <w:rPr>
          <w:rFonts w:ascii="Garamond" w:hAnsi="Garamond" w:cs="Times New Roman"/>
          <w:sz w:val="24"/>
        </w:rPr>
      </w:pPr>
    </w:p>
    <w:p w:rsidR="0053290A" w:rsidRDefault="0053290A" w:rsidP="0053290A">
      <w:pPr>
        <w:spacing w:before="120" w:after="0" w:line="240" w:lineRule="auto"/>
        <w:ind w:right="567"/>
        <w:jc w:val="center"/>
        <w:rPr>
          <w:rFonts w:ascii="Garamond" w:hAnsi="Garamond" w:cs="Times New Roman"/>
          <w:sz w:val="24"/>
        </w:rPr>
      </w:pPr>
      <w:r>
        <w:rPr>
          <w:rFonts w:ascii="Garamond" w:hAnsi="Garamond"/>
          <w:b/>
          <w:sz w:val="24"/>
          <w:szCs w:val="24"/>
        </w:rPr>
        <w:t>Abtrak</w:t>
      </w:r>
    </w:p>
    <w:p w:rsidR="0053290A" w:rsidRPr="007043AC" w:rsidRDefault="0053290A" w:rsidP="00201FC5">
      <w:pPr>
        <w:spacing w:after="0" w:line="240" w:lineRule="auto"/>
        <w:ind w:left="360" w:right="373"/>
        <w:jc w:val="both"/>
        <w:rPr>
          <w:rFonts w:ascii="Garamond" w:hAnsi="Garamond" w:cs="Times New Roman"/>
          <w:sz w:val="24"/>
        </w:rPr>
      </w:pPr>
      <w:r w:rsidRPr="007043AC">
        <w:rPr>
          <w:rFonts w:ascii="Garamond" w:hAnsi="Garamond" w:cs="Times New Roman"/>
          <w:sz w:val="24"/>
        </w:rPr>
        <w:t xml:space="preserve">Kajian ini bertujuan untuk membaca peraturan perundang-undangan perkawinan beda agama di Indonesia dari perspektif penalaran logika hukum, sehingga para hakim dapat melihat lebih dalam bagaimana kehendak hukum yang ada dan bukan sekedar interpretasi hukum subyektif belaka.  Selain itu, melihat kewenangan Hakim Pengadilan Negeri yang mengambil peran dalam penetapan pekawinan beda agama tersebut. Penelitian ini merupakan penelitian kualitatif-normatif yang menggunakan dokumen peraturan perundang-undangan dan kepustakaan berupa buku, jurnal, laporan dan sumber terpercaya lainnya yang dianalisis dengan penalaran logika hukum untuk mendapatkan kehendak hukum dan tujuan konstitusi. Berdasarkan temuan tersebut, penalaran logika hukum dalam membaca peraturan perundang-undangan menunjukan bahwa kehendak hukum perkawinan beda agama itu adalah dilarang. Hal tersebut dapat dilihat pada tujuan konstitusi Indonesia pada alenia keempat UUD 1945, UU kekuasaan kehakiman pada Pasal 5 dan Pasal 50. Tujuan konstitusi merupakan landasan yang harus ada dalam setiap putusan hakim. Putusan tersebut tidak hanya mewujudkan kedamaian abadi dan rasa keadilan bagi para pihak, tetapi juga bagi sosial secara umum atau mayoritas masyarakat muslim Indonesia. Adapun dalam putusan Mahkamah Agung Nomor </w:t>
      </w:r>
      <w:r w:rsidRPr="007043AC">
        <w:rPr>
          <w:rFonts w:ascii="Garamond" w:hAnsi="Garamond" w:cs="Times New Roman"/>
        </w:rPr>
        <w:t xml:space="preserve">Nomor 1400 K/Pdt/1986 bahwa </w:t>
      </w:r>
      <w:r w:rsidRPr="007043AC">
        <w:rPr>
          <w:rFonts w:ascii="Garamond" w:hAnsi="Garamond" w:cs="Times New Roman"/>
          <w:sz w:val="24"/>
        </w:rPr>
        <w:t>kewenangan dalam menyelesaikan perkara perkawinan beda agama itu adalah Pengadilan Negeri, namun keputusan itu kurang tepat setelah keluarnya Putusan Mahkamah Konstitusi Nomor 68/PUU-XII/2014 yang menyebutkan bahwa perkwinan beda agama berkaitan erat dengan Agama. Maka kewenangan dalam menyelesaikan perkara perkawinan beda agama harus diambil oleh Pengadilan Agama. Hal ini juga sesuai dengan Pasal 49 Undang-Undang Pengadilan Agama Nomor 3 Tahun 2006 yang menyebutkan bahwa salah satu kewenangannya adalah yang berkaitan dengan perkawinan.</w:t>
      </w:r>
    </w:p>
    <w:p w:rsidR="0053290A" w:rsidRPr="007043AC" w:rsidRDefault="0053290A" w:rsidP="00201FC5">
      <w:pPr>
        <w:spacing w:after="0"/>
        <w:ind w:left="360" w:right="373"/>
        <w:jc w:val="both"/>
        <w:rPr>
          <w:rFonts w:ascii="Garamond" w:hAnsi="Garamond" w:cs="Times New Roman"/>
          <w:sz w:val="24"/>
        </w:rPr>
      </w:pPr>
    </w:p>
    <w:p w:rsidR="0053290A" w:rsidRPr="007043AC" w:rsidRDefault="0053290A" w:rsidP="00201FC5">
      <w:pPr>
        <w:spacing w:after="0"/>
        <w:ind w:left="360" w:right="373"/>
        <w:jc w:val="both"/>
        <w:rPr>
          <w:rFonts w:ascii="Garamond" w:hAnsi="Garamond" w:cs="Times New Roman"/>
          <w:sz w:val="24"/>
        </w:rPr>
      </w:pPr>
      <w:r w:rsidRPr="00201FC5">
        <w:rPr>
          <w:rFonts w:ascii="Garamond" w:hAnsi="Garamond" w:cs="Times New Roman"/>
          <w:b/>
          <w:sz w:val="24"/>
        </w:rPr>
        <w:t>Kata Kunci</w:t>
      </w:r>
      <w:r w:rsidRPr="007043AC">
        <w:rPr>
          <w:rFonts w:ascii="Garamond" w:hAnsi="Garamond" w:cs="Times New Roman"/>
          <w:sz w:val="24"/>
        </w:rPr>
        <w:t>: Perkawinan beda agama, penetapan hakim, logika hukum</w:t>
      </w:r>
    </w:p>
    <w:p w:rsidR="0053290A" w:rsidRPr="005A0886" w:rsidRDefault="0053290A" w:rsidP="006A7EA6">
      <w:pPr>
        <w:spacing w:before="120" w:after="0" w:line="240" w:lineRule="auto"/>
        <w:ind w:left="567" w:right="567"/>
        <w:jc w:val="both"/>
        <w:rPr>
          <w:rFonts w:ascii="Garamond" w:hAnsi="Garamond"/>
          <w:sz w:val="24"/>
          <w:szCs w:val="24"/>
        </w:rPr>
      </w:pPr>
    </w:p>
    <w:p w:rsidR="005A0886" w:rsidRPr="005A0886" w:rsidRDefault="005A0886" w:rsidP="006A7EA6">
      <w:pPr>
        <w:spacing w:before="120" w:after="0" w:line="240" w:lineRule="auto"/>
        <w:rPr>
          <w:rFonts w:ascii="Garamond" w:hAnsi="Garamond"/>
          <w:b/>
          <w:bCs/>
          <w:color w:val="000000"/>
          <w:sz w:val="24"/>
          <w:szCs w:val="24"/>
          <w:lang w:eastAsia="id-ID"/>
        </w:rPr>
      </w:pPr>
      <w:r w:rsidRPr="005A0886">
        <w:rPr>
          <w:rFonts w:ascii="Garamond" w:hAnsi="Garamond"/>
          <w:b/>
          <w:bCs/>
          <w:color w:val="000000"/>
          <w:sz w:val="24"/>
          <w:szCs w:val="24"/>
          <w:lang w:eastAsia="id-ID"/>
        </w:rPr>
        <w:t>Introduction</w:t>
      </w:r>
      <w:r>
        <w:rPr>
          <w:rFonts w:ascii="Garamond" w:hAnsi="Garamond"/>
          <w:b/>
          <w:bCs/>
          <w:color w:val="000000"/>
          <w:sz w:val="24"/>
          <w:szCs w:val="24"/>
          <w:lang w:eastAsia="id-ID"/>
        </w:rPr>
        <w:t xml:space="preserve"> </w:t>
      </w: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 xml:space="preserve">Perkawinan beda agama telah lama terbahaskan oleh para ulama terdahulu, dan masih terbahaskan hingga saat ini dikarenakan terdapatnya pemahaman hukum bahwa di Indonesia memiliki celah hukum terhadap </w:t>
      </w:r>
      <w:r w:rsidRPr="00C33863">
        <w:rPr>
          <w:rFonts w:ascii="Garamond" w:hAnsi="Garamond" w:cs="Times New Roman"/>
          <w:sz w:val="24"/>
        </w:rPr>
        <w:lastRenderedPageBreak/>
        <w:t>kebolehan pernikahan beda agama, yaitu perkawinannya dicatatkan di Kantor Dinas Kependudukan dan Catatan Sipil.</w:t>
      </w:r>
      <w:r w:rsidR="008D1526">
        <w:rPr>
          <w:rStyle w:val="FootnoteReference"/>
          <w:rFonts w:ascii="Garamond" w:hAnsi="Garamond" w:cs="Times New Roman"/>
          <w:sz w:val="24"/>
        </w:rPr>
        <w:footnoteReference w:id="1"/>
      </w:r>
      <w:r w:rsidRPr="00C33863">
        <w:rPr>
          <w:rFonts w:ascii="Garamond" w:hAnsi="Garamond" w:cs="Times New Roman"/>
          <w:sz w:val="24"/>
        </w:rPr>
        <w:t xml:space="preserve"> Terbukti hingga tahun 2022, masih terdapatnya fenomena sosial yang terjadi dalam hal pernikahan beda agama.</w:t>
      </w:r>
      <w:r w:rsidR="008D1526">
        <w:rPr>
          <w:rStyle w:val="FootnoteReference"/>
          <w:rFonts w:ascii="Garamond" w:hAnsi="Garamond" w:cs="Times New Roman"/>
          <w:sz w:val="24"/>
        </w:rPr>
        <w:footnoteReference w:id="2"/>
      </w:r>
      <w:r w:rsidR="008D1526">
        <w:rPr>
          <w:rStyle w:val="FootnoteReference"/>
          <w:rFonts w:ascii="Garamond" w:hAnsi="Garamond" w:cs="Times New Roman"/>
          <w:sz w:val="24"/>
        </w:rPr>
        <w:footnoteReference w:id="3"/>
      </w:r>
      <w:r w:rsidR="008D1526">
        <w:rPr>
          <w:rFonts w:ascii="Garamond" w:hAnsi="Garamond" w:cs="Times New Roman"/>
          <w:sz w:val="24"/>
        </w:rPr>
        <w:t xml:space="preserve"> </w:t>
      </w:r>
      <w:r w:rsidRPr="00C33863">
        <w:rPr>
          <w:rFonts w:ascii="Garamond" w:hAnsi="Garamond" w:cs="Times New Roman"/>
          <w:sz w:val="24"/>
        </w:rPr>
        <w:t>Meskipun demikian, perkawinan beda agama belum memiliki dasar hukum yang kuat atau aturan spesifik yang langsung membahas tentang perkawinan beda agama tersebut.</w:t>
      </w: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 xml:space="preserve">Pada tahun 2014, pernah dilakukan pengajuan uji materi terhadap Pasal 2 Ayat 1 Undang-Undang Nomor 1 Tahun 1974 tentang Perkawinan. pengajuan tersebut dikarenakan terdapat seorang warga yang terhalang untuk melangsungkan perkawinan dikarenakan perbedaan agama, yakni agama Kristen dan Islam. Kemudian Mahkamah Konstitusi melakukan </w:t>
      </w:r>
      <w:r w:rsidRPr="00C33863">
        <w:rPr>
          <w:rFonts w:ascii="Garamond" w:hAnsi="Garamond" w:cs="Times New Roman"/>
          <w:i/>
          <w:iCs/>
          <w:sz w:val="24"/>
        </w:rPr>
        <w:t xml:space="preserve">Judicial Review </w:t>
      </w:r>
      <w:r w:rsidRPr="00C33863">
        <w:rPr>
          <w:rFonts w:ascii="Garamond" w:hAnsi="Garamond" w:cs="Times New Roman"/>
          <w:sz w:val="24"/>
        </w:rPr>
        <w:t>terhadap undang-undang tersebut mengeluarkan putusan bahwa Undang-undang Nomor 1 tahun 1974 tentang Perkawinan tidak bertentangan dengan Undang Undang Dasar 1945 khususnya pada pasal 29, yaitu:</w:t>
      </w:r>
    </w:p>
    <w:p w:rsidR="00C33863" w:rsidRPr="00C33863" w:rsidRDefault="00C33863" w:rsidP="00C33863">
      <w:pPr>
        <w:spacing w:after="0"/>
        <w:ind w:left="709" w:firstLine="11"/>
        <w:jc w:val="both"/>
        <w:rPr>
          <w:rFonts w:ascii="Garamond" w:hAnsi="Garamond" w:cs="Times New Roman"/>
          <w:sz w:val="24"/>
        </w:rPr>
      </w:pPr>
      <w:r w:rsidRPr="00C33863">
        <w:rPr>
          <w:rFonts w:ascii="Garamond" w:hAnsi="Garamond" w:cs="Times New Roman"/>
          <w:sz w:val="24"/>
        </w:rPr>
        <w:t>“Negara menjamin kemerdekaan tiap-tiap penduduk untuk memeluk agamanya masing-masing dan beribadat menurut agamanya dan kepercayaannya itu”.</w:t>
      </w:r>
    </w:p>
    <w:p w:rsidR="00C33863" w:rsidRPr="00C33863" w:rsidRDefault="00C33863" w:rsidP="00C33863">
      <w:pPr>
        <w:spacing w:after="0"/>
        <w:ind w:left="709" w:firstLine="11"/>
        <w:jc w:val="both"/>
        <w:rPr>
          <w:rFonts w:ascii="Garamond" w:hAnsi="Garamond" w:cs="Times New Roman"/>
          <w:sz w:val="24"/>
        </w:rPr>
      </w:pP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Salah satu pertimbangan Mahkamah Konstitusi menolak permohonan Pemohon lainnya adalah dalam kehidupan berbangsa dan bernegara berdasarkan Pancasila dan UUD 1945, agama merupakan landasan, khususnya dalam hal perkawinan. maka perkawinan tidak boleh hanya dilihat dalam aspek formal semata, melainkan juga harus dilihat dari aspek spiritual dan sosial</w:t>
      </w:r>
      <w:r w:rsidR="00234EA8">
        <w:rPr>
          <w:rFonts w:ascii="Garamond" w:hAnsi="Garamond" w:cs="Times New Roman"/>
          <w:sz w:val="24"/>
        </w:rPr>
        <w:t>.</w:t>
      </w:r>
      <w:r w:rsidR="008D1526">
        <w:rPr>
          <w:rStyle w:val="FootnoteReference"/>
          <w:rFonts w:ascii="Garamond" w:hAnsi="Garamond" w:cs="Times New Roman"/>
          <w:sz w:val="24"/>
        </w:rPr>
        <w:footnoteReference w:id="4"/>
      </w:r>
      <w:r w:rsidRPr="00C33863">
        <w:rPr>
          <w:rFonts w:ascii="Garamond" w:hAnsi="Garamond" w:cs="Times New Roman"/>
          <w:sz w:val="24"/>
        </w:rPr>
        <w:t xml:space="preserve"> Hal tersebut dapat disimpulkan bahwa agama menetapkan tentang keabsahan perkawinan, sedangkan Undang-Undang menetapkan keabsahan administratif yang dilakukan oleh nagara. Sehingga sangat wajar terdapat penetapan para hakim di Pengadilan </w:t>
      </w:r>
      <w:r w:rsidRPr="00C33863">
        <w:rPr>
          <w:rFonts w:ascii="Garamond" w:hAnsi="Garamond" w:cs="Times New Roman"/>
          <w:sz w:val="24"/>
        </w:rPr>
        <w:lastRenderedPageBreak/>
        <w:t>Negeri yang mengabulkan permohonan pemohon untuk menikah beda agama</w:t>
      </w:r>
      <w:r w:rsidR="00234EA8">
        <w:rPr>
          <w:rFonts w:ascii="Garamond" w:hAnsi="Garamond" w:cs="Times New Roman"/>
          <w:sz w:val="24"/>
        </w:rPr>
        <w:t>.</w:t>
      </w:r>
      <w:r w:rsidRPr="00C33863">
        <w:rPr>
          <w:rStyle w:val="FootnoteReference"/>
          <w:rFonts w:ascii="Garamond" w:hAnsi="Garamond" w:cs="Times New Roman"/>
          <w:sz w:val="24"/>
        </w:rPr>
        <w:footnoteReference w:id="5"/>
      </w:r>
      <w:r w:rsidRPr="00C33863">
        <w:rPr>
          <w:rStyle w:val="FootnoteReference"/>
          <w:rFonts w:ascii="Garamond" w:hAnsi="Garamond" w:cs="Times New Roman"/>
          <w:sz w:val="24"/>
        </w:rPr>
        <w:footnoteReference w:id="6"/>
      </w:r>
      <w:r w:rsidR="00234EA8">
        <w:rPr>
          <w:rFonts w:ascii="Garamond" w:hAnsi="Garamond" w:cs="Times New Roman"/>
          <w:sz w:val="24"/>
        </w:rPr>
        <w:t xml:space="preserve"> </w:t>
      </w:r>
      <w:r w:rsidRPr="00C33863">
        <w:rPr>
          <w:rFonts w:ascii="Garamond" w:hAnsi="Garamond" w:cs="Times New Roman"/>
          <w:sz w:val="24"/>
        </w:rPr>
        <w:t>Hal tersebut terjadi karena tidak adanya paparan atau penjelasan yang eksplisit yang menunjukan bahwa nikah beda agama suatu yang dilarang dalam legislasi Indonesia, meskipun permohonan pemohon dalam putusan MK tersebut adalah ditolak keseluruhannya.</w:t>
      </w: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Adanya Putusan Mahkamah Konstitusi Nomor 68/ PUU-XII/2014 juga menimbulkan pertanyaan terkait penetapan perkawinan beda agama yang dikeluarkan oleh Pengadilan negeri, dimana selama ini perkara penetapan perkawainan beda agama dilakukan oleh Pengadilan Negeri. Apakah kewenangan tersebut sudah tepat di tangan Hakim Pengadilan agama, atau belum?. Hal ini perlu dikaji lebih dalam agar yang mengambil peran dalam penetapan kebolehan perkawinan beda agama adalah hakim pengadilan yang tepat.</w:t>
      </w: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Isu pernikahan beda agama semakin viral akibat dari adanya seorang wanita yang bekerja sebagai staff khusus presiden menikah dengan seorang pria non muslim</w:t>
      </w:r>
      <w:r w:rsidR="00234EA8">
        <w:rPr>
          <w:rFonts w:ascii="Garamond" w:hAnsi="Garamond" w:cs="Times New Roman"/>
          <w:sz w:val="24"/>
        </w:rPr>
        <w:t>.</w:t>
      </w:r>
      <w:r w:rsidRPr="00C33863">
        <w:rPr>
          <w:rStyle w:val="FootnoteReference"/>
          <w:rFonts w:ascii="Garamond" w:hAnsi="Garamond" w:cs="Times New Roman"/>
          <w:sz w:val="24"/>
        </w:rPr>
        <w:footnoteReference w:id="7"/>
      </w:r>
      <w:r w:rsidRPr="00C33863">
        <w:rPr>
          <w:rFonts w:ascii="Garamond" w:hAnsi="Garamond" w:cs="Times New Roman"/>
          <w:sz w:val="24"/>
        </w:rPr>
        <w:t xml:space="preserve"> Sehingga menjadikan banyak diskusi terbuka yang dilakukan oleh media televisi maupun akademisi. Salah satunya adalah Tv One yang melakukan diskusi lintas pakar</w:t>
      </w:r>
      <w:r w:rsidR="00234EA8">
        <w:rPr>
          <w:rFonts w:ascii="Garamond" w:hAnsi="Garamond" w:cs="Times New Roman"/>
          <w:sz w:val="24"/>
        </w:rPr>
        <w:t>.</w:t>
      </w:r>
      <w:r w:rsidRPr="00C33863">
        <w:rPr>
          <w:rStyle w:val="FootnoteReference"/>
          <w:rFonts w:ascii="Garamond" w:hAnsi="Garamond" w:cs="Times New Roman"/>
          <w:sz w:val="24"/>
        </w:rPr>
        <w:footnoteReference w:id="8"/>
      </w:r>
      <w:r w:rsidRPr="00C33863">
        <w:rPr>
          <w:rFonts w:ascii="Garamond" w:hAnsi="Garamond" w:cs="Times New Roman"/>
          <w:sz w:val="24"/>
        </w:rPr>
        <w:t xml:space="preserve"> Namun penulis melihat tidak memberikan manfaat yang signifikan terkait informasi kepastian dan kehendak hukum Indonesia dalam boleh atau tidaknya perkawinan beda agama, khususnya antara pria non muslim dengan wanita muslimah.</w:t>
      </w:r>
    </w:p>
    <w:p w:rsidR="00C33863" w:rsidRP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Pada sisi yang lain, hukum memiliki kehendaknya dalam mengatur kehidupan bermasyrakat. Kehendak hukum tersebut dapat diketahui dengan berbagai pendekatan, salah satunya adalah pendekatan logika hukum. Logika hukum adalah logika khusus yang digunakan dalam melakukan suatu pemikiran, penalaran untuk menarik suatu simpulan tentang suatu hukum</w:t>
      </w:r>
      <w:r w:rsidR="00234EA8">
        <w:rPr>
          <w:rFonts w:ascii="Garamond" w:hAnsi="Garamond" w:cs="Times New Roman"/>
          <w:sz w:val="24"/>
        </w:rPr>
        <w:t>.</w:t>
      </w:r>
      <w:r w:rsidRPr="00C33863">
        <w:rPr>
          <w:rStyle w:val="FootnoteReference"/>
          <w:rFonts w:ascii="Garamond" w:hAnsi="Garamond" w:cs="Times New Roman"/>
          <w:sz w:val="24"/>
        </w:rPr>
        <w:footnoteReference w:id="9"/>
      </w:r>
      <w:r w:rsidRPr="00C33863">
        <w:rPr>
          <w:rFonts w:ascii="Garamond" w:hAnsi="Garamond" w:cs="Times New Roman"/>
          <w:sz w:val="24"/>
        </w:rPr>
        <w:t xml:space="preserve"> Hal ini juga dilakukan oleh peneliti lainnya, yang menyebutkan bahwa pencarian jawaban yang rasional dan dapat diterima dapat ditempuh dengan menggunakan pendekatan </w:t>
      </w:r>
      <w:r w:rsidRPr="00C33863">
        <w:rPr>
          <w:rStyle w:val="highlight"/>
          <w:rFonts w:ascii="Garamond" w:hAnsi="Garamond" w:cs="Times New Roman"/>
          <w:sz w:val="24"/>
        </w:rPr>
        <w:lastRenderedPageBreak/>
        <w:t>logika</w:t>
      </w:r>
      <w:r w:rsidRPr="00C33863">
        <w:rPr>
          <w:rFonts w:ascii="Garamond" w:hAnsi="Garamond" w:cs="Times New Roman"/>
          <w:sz w:val="24"/>
        </w:rPr>
        <w:t xml:space="preserve"> hukum sistematis</w:t>
      </w:r>
      <w:r w:rsidR="00234EA8">
        <w:rPr>
          <w:rFonts w:ascii="Garamond" w:hAnsi="Garamond" w:cs="Times New Roman"/>
          <w:sz w:val="24"/>
        </w:rPr>
        <w:t>.</w:t>
      </w:r>
      <w:r w:rsidRPr="00C33863">
        <w:rPr>
          <w:rStyle w:val="FootnoteReference"/>
          <w:rFonts w:ascii="Garamond" w:hAnsi="Garamond" w:cs="Times New Roman"/>
          <w:sz w:val="24"/>
        </w:rPr>
        <w:footnoteReference w:id="10"/>
      </w:r>
      <w:r w:rsidRPr="00C33863">
        <w:rPr>
          <w:rFonts w:ascii="Garamond" w:hAnsi="Garamond" w:cs="Times New Roman"/>
          <w:sz w:val="24"/>
        </w:rPr>
        <w:t xml:space="preserve"> Penalaran logika hukum inilah yang penulis gunakan dalam menganalis kehendak peraturan perkawinan beda agama di Indonesia.</w:t>
      </w:r>
    </w:p>
    <w:p w:rsidR="00C33863" w:rsidRDefault="00C33863" w:rsidP="00C33863">
      <w:pPr>
        <w:spacing w:after="0"/>
        <w:ind w:firstLine="720"/>
        <w:jc w:val="both"/>
        <w:rPr>
          <w:rFonts w:ascii="Garamond" w:hAnsi="Garamond" w:cs="Times New Roman"/>
          <w:sz w:val="24"/>
        </w:rPr>
      </w:pPr>
      <w:r w:rsidRPr="00C33863">
        <w:rPr>
          <w:rFonts w:ascii="Garamond" w:hAnsi="Garamond" w:cs="Times New Roman"/>
          <w:sz w:val="24"/>
        </w:rPr>
        <w:t>Hipotesa penulis terkait kehendak hukum dari peraturan perundan-undangan perkawinan beda agama di Indonesia adalah dilarang atau tidak boleh untuk dilaksanakan. Hal tersebut tertera jelas dalam Penjelasan UU Perkawinan itu sendiri yang berbunyi bahwa tidak adanya perkawinan yang terjadi di luar dari hukum agama dan kepercayaannya masing-masing. Meskipun begitu jelas dalam penjelasan UU Perkawinan itu, namun masih saja hakim memberikan penetapan yang membolehkan pernikahan beda agama, khususnya pada pernikahan bagi pria non muslim dengan wanita muslimah. Selain itu, hipotesa yang kedua adalah apakah kewenangan penetapan kebolehan perkawinan beda agama itu sudah tepat di Pengadilan Neger?. Oleh sebab itu diperlukan penalaran logika hukum yang sistematis untuk mengkaji lebih dalam terkait kehendak hukum dalam membaca peraturan perundang-undangan tentang perkawinan beda agama di Indonesia.</w:t>
      </w:r>
    </w:p>
    <w:p w:rsidR="005C33FF" w:rsidRPr="005C33FF" w:rsidRDefault="005C33FF" w:rsidP="005C33FF">
      <w:pPr>
        <w:spacing w:after="0"/>
        <w:ind w:firstLine="720"/>
        <w:jc w:val="both"/>
        <w:rPr>
          <w:rFonts w:ascii="Garamond" w:hAnsi="Garamond"/>
          <w:spacing w:val="-6"/>
          <w:sz w:val="24"/>
        </w:rPr>
      </w:pPr>
      <w:r w:rsidRPr="005C33FF">
        <w:rPr>
          <w:rFonts w:ascii="Garamond" w:hAnsi="Garamond"/>
          <w:spacing w:val="-6"/>
          <w:sz w:val="24"/>
        </w:rPr>
        <w:t>Penelitian ini merupakan penelitian kualitatif-normatif, dimana penulis menekankan kepada analisis dari peraturan perundang-undangan yang terdapat celah hukum terjadinya perkawinan beda agama. Kemudian penulis akan mendeskripsikan analisis tersebut dengan pendekatan penalaran logika hukum untuk menemukan kehendak dari konstitusi dan peraturan perundang-undangan indonesia. Penelitian kualitatif ini dilakukan agar peneliti dapat menemukan perspektif teori yang relevan, sehingga dapat membant</w:t>
      </w:r>
      <w:r>
        <w:rPr>
          <w:rFonts w:ascii="Garamond" w:hAnsi="Garamond"/>
          <w:spacing w:val="-6"/>
          <w:sz w:val="24"/>
        </w:rPr>
        <w:t>u memahami fenomena yang dikaji.</w:t>
      </w:r>
      <w:r w:rsidRPr="005C33FF">
        <w:rPr>
          <w:rStyle w:val="FootnoteReference"/>
          <w:rFonts w:ascii="Garamond" w:hAnsi="Garamond"/>
          <w:spacing w:val="-6"/>
          <w:sz w:val="24"/>
        </w:rPr>
        <w:footnoteReference w:id="11"/>
      </w:r>
    </w:p>
    <w:p w:rsidR="005C33FF" w:rsidRPr="005C33FF" w:rsidRDefault="005C33FF" w:rsidP="005C33FF">
      <w:pPr>
        <w:spacing w:after="0"/>
        <w:ind w:firstLine="720"/>
        <w:jc w:val="both"/>
        <w:rPr>
          <w:rFonts w:ascii="Garamond" w:hAnsi="Garamond"/>
          <w:spacing w:val="-6"/>
          <w:sz w:val="24"/>
        </w:rPr>
      </w:pPr>
      <w:r w:rsidRPr="005C33FF">
        <w:rPr>
          <w:rFonts w:ascii="Garamond" w:hAnsi="Garamond"/>
          <w:spacing w:val="-6"/>
          <w:sz w:val="24"/>
        </w:rPr>
        <w:t>Penelitian ini diawali dengan mengamati fenomena adanya penetapan hakim Pengadilan Negeri yang memberikan izin terjadinya perkawinan beda agama di Indonesia, khususnya perkawinan antara pria non muslim dengan wanita muslimah. Kemudian dilanjutkan dengan membaca pertimbangan hukum dari penetapan hakim tersebut yang dikombinasikan dengan literatur-literatur terkait berupa jurnal, buku dan media online agar data yang dijasikan lebih akurat. Hasil bacaan yang komprehensif tersebut juga dijadikan bahan penalaran logika hukum yang membuat pendeskripsian penelitian ini menjadi lebih lebih terstruktur dan objektif.</w:t>
      </w:r>
    </w:p>
    <w:p w:rsidR="005C33FF" w:rsidRPr="00C33863" w:rsidRDefault="005C33FF" w:rsidP="00C33863">
      <w:pPr>
        <w:spacing w:after="0"/>
        <w:ind w:firstLine="720"/>
        <w:jc w:val="both"/>
        <w:rPr>
          <w:rFonts w:ascii="Garamond" w:hAnsi="Garamond" w:cs="Times New Roman"/>
          <w:sz w:val="24"/>
        </w:rPr>
      </w:pPr>
    </w:p>
    <w:p w:rsidR="005A0886" w:rsidRDefault="005A0886" w:rsidP="00234EA8">
      <w:pPr>
        <w:spacing w:before="120" w:after="0"/>
        <w:jc w:val="both"/>
        <w:rPr>
          <w:rFonts w:ascii="Garamond" w:hAnsi="Garamond"/>
          <w:sz w:val="24"/>
          <w:szCs w:val="24"/>
          <w:lang w:val="id-ID"/>
        </w:rPr>
      </w:pPr>
      <w:r w:rsidRPr="005A0886">
        <w:rPr>
          <w:rFonts w:ascii="Garamond" w:hAnsi="Garamond"/>
          <w:b/>
          <w:bCs/>
          <w:sz w:val="24"/>
          <w:szCs w:val="24"/>
        </w:rPr>
        <w:t>Discussion</w:t>
      </w:r>
      <w:r>
        <w:rPr>
          <w:rFonts w:ascii="Garamond" w:hAnsi="Garamond"/>
          <w:b/>
          <w:bCs/>
          <w:sz w:val="24"/>
          <w:szCs w:val="24"/>
        </w:rPr>
        <w:t xml:space="preserve"> </w:t>
      </w:r>
    </w:p>
    <w:p w:rsidR="00234EA8" w:rsidRPr="007043AC" w:rsidRDefault="00234EA8" w:rsidP="00234EA8">
      <w:pPr>
        <w:spacing w:after="0"/>
        <w:ind w:firstLine="720"/>
        <w:jc w:val="both"/>
        <w:rPr>
          <w:rFonts w:ascii="Garamond" w:hAnsi="Garamond" w:cs="Times New Roman"/>
        </w:rPr>
      </w:pPr>
      <w:r w:rsidRPr="007043AC">
        <w:rPr>
          <w:rFonts w:ascii="Garamond" w:hAnsi="Garamond" w:cs="Times New Roman"/>
        </w:rPr>
        <w:t xml:space="preserve">Perkawinan beda agama tidak lain memiliki makna perkawinan yang dilakukan oleh pasangan yang memiliki perbedaan agama. Pada dasarnya kajian ini telah banyak dibahas oleh para ulama terdahulu, khususnya para imam mazhab yang </w:t>
      </w:r>
      <w:r w:rsidRPr="007043AC">
        <w:rPr>
          <w:rFonts w:ascii="Garamond" w:hAnsi="Garamond" w:cs="Times New Roman"/>
          <w:i/>
        </w:rPr>
        <w:t>mu’tabar</w:t>
      </w:r>
      <w:r w:rsidRPr="007043AC">
        <w:rPr>
          <w:rFonts w:ascii="Garamond" w:hAnsi="Garamond" w:cs="Times New Roman"/>
        </w:rPr>
        <w:t xml:space="preserve">. Para </w:t>
      </w:r>
      <w:r w:rsidRPr="007043AC">
        <w:rPr>
          <w:rFonts w:ascii="Garamond" w:hAnsi="Garamond" w:cs="Times New Roman"/>
        </w:rPr>
        <w:lastRenderedPageBreak/>
        <w:t>imam mazhab membagi macam-macam perkawinan beda agama yang terdiri tiga jenis, yaitu perkawinan antara pria muslim dengan wanita kitabiyah, pria muslim dengan wanita musyrik, pria non muslim dengan wanita muslimah. Imam Mazhab sepakat bahwa perkawinan yang boleh dilakukan adalah antara pria muslim dengan wanita kitabiyah saja. Itupun harus wanita kitabiyah yang dapat menjaga kesucian dirinya. Sedangkan antara pria muslim dengan wanita musyrik dan pria non muslim dengan wanita muslim, maka</w:t>
      </w:r>
      <w:r>
        <w:rPr>
          <w:rFonts w:ascii="Garamond" w:hAnsi="Garamond" w:cs="Times New Roman"/>
        </w:rPr>
        <w:t xml:space="preserve"> hukumnya haram untuk dilakukan.</w:t>
      </w:r>
      <w:r w:rsidRPr="007043AC">
        <w:rPr>
          <w:rStyle w:val="FootnoteReference"/>
          <w:rFonts w:ascii="Garamond" w:hAnsi="Garamond" w:cs="Times New Roman"/>
        </w:rPr>
        <w:footnoteReference w:id="12"/>
      </w:r>
      <w:r w:rsidRPr="007043AC">
        <w:rPr>
          <w:rFonts w:ascii="Garamond" w:hAnsi="Garamond" w:cs="Times New Roman"/>
        </w:rPr>
        <w:t xml:space="preserve"> Meskipun ada pendapat pemikir islam yang memberikan pemahaman bahwa perkawinan beda agama </w:t>
      </w:r>
      <w:r>
        <w:rPr>
          <w:rFonts w:ascii="Garamond" w:hAnsi="Garamond" w:cs="Times New Roman"/>
        </w:rPr>
        <w:t>sah dan boleh dilakukan.</w:t>
      </w:r>
      <w:r w:rsidRPr="007043AC">
        <w:rPr>
          <w:rStyle w:val="FootnoteReference"/>
          <w:rFonts w:ascii="Garamond" w:hAnsi="Garamond" w:cs="Times New Roman"/>
        </w:rPr>
        <w:footnoteReference w:id="13"/>
      </w:r>
      <w:r w:rsidRPr="007043AC">
        <w:rPr>
          <w:rStyle w:val="FootnoteReference"/>
          <w:rFonts w:ascii="Garamond" w:hAnsi="Garamond" w:cs="Times New Roman"/>
        </w:rPr>
        <w:footnoteReference w:id="14"/>
      </w:r>
      <w:r w:rsidRPr="007043AC">
        <w:rPr>
          <w:rFonts w:ascii="Garamond" w:hAnsi="Garamond" w:cs="Times New Roman"/>
        </w:rPr>
        <w:t xml:space="preserve"> </w:t>
      </w:r>
    </w:p>
    <w:p w:rsidR="00234EA8" w:rsidRPr="007043AC" w:rsidRDefault="00234EA8" w:rsidP="00234EA8">
      <w:pPr>
        <w:spacing w:after="0"/>
        <w:ind w:firstLine="720"/>
        <w:jc w:val="both"/>
        <w:rPr>
          <w:rFonts w:ascii="Garamond" w:hAnsi="Garamond" w:cs="Times New Roman"/>
        </w:rPr>
      </w:pPr>
      <w:r w:rsidRPr="007043AC">
        <w:rPr>
          <w:rFonts w:ascii="Garamond" w:hAnsi="Garamond" w:cs="Times New Roman"/>
        </w:rPr>
        <w:t>Peraturan Perundang-undangan Indonesia tidak memiliki kepastian hukum yang jelas terkait kebolehan ataupun pelarangan perkawinan beda agama. Sehingga sangat wajar terdapat penetapan para hakim di Pengadilan Negeri yang mengabulkan permohonan p</w:t>
      </w:r>
      <w:r>
        <w:rPr>
          <w:rFonts w:ascii="Garamond" w:hAnsi="Garamond" w:cs="Times New Roman"/>
        </w:rPr>
        <w:t>emohon untuk menikah beda agama.</w:t>
      </w:r>
      <w:r w:rsidRPr="007043AC">
        <w:rPr>
          <w:rStyle w:val="FootnoteReference"/>
          <w:rFonts w:ascii="Garamond" w:hAnsi="Garamond" w:cs="Times New Roman"/>
        </w:rPr>
        <w:footnoteReference w:id="15"/>
      </w:r>
      <w:r w:rsidRPr="007043AC">
        <w:rPr>
          <w:rStyle w:val="FootnoteReference"/>
          <w:rFonts w:ascii="Garamond" w:hAnsi="Garamond" w:cs="Times New Roman"/>
        </w:rPr>
        <w:footnoteReference w:id="16"/>
      </w:r>
      <w:r w:rsidRPr="007043AC">
        <w:rPr>
          <w:rFonts w:ascii="Garamond" w:hAnsi="Garamond" w:cs="Times New Roman"/>
        </w:rPr>
        <w:t xml:space="preserve"> Oleh karena itu, penulis mengajak para pembaca, khususnya para hakim untuk dapat menggunakan penalaran logika hukum dalam mengambil dasar hukum yang tepat atas putusan ataupun penetapan hakim terkait perkawinan beda agama. </w:t>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Logika merupakan strategi berfikir yang dilakukan melalui pertimbangan yang koheren sehingga dapat diterima oleh akal, baik itu hipotesis, jawaban maupun kesimpulan. Logika merupakan ilmu pengetahuan tentang karya akal budi untuk membimbing menuju yang benar. Objek metriel dari logika adalah akal budi (pengertian, putusan dan pemikiran), sedangkan objek formilnya adalah aturan-aturan yang mengatur karya akal budi tersebut. Oleh sebab itu logika dapat diartikan sebagai keseluruhan dari suatu hukum untuk memperoleh kebenaran dalam berfikir</w:t>
      </w:r>
      <w:r>
        <w:rPr>
          <w:rFonts w:ascii="Garamond" w:hAnsi="Garamond" w:cs="Times New Roman"/>
        </w:rPr>
        <w:t>.</w:t>
      </w:r>
      <w:r w:rsidRPr="007043AC">
        <w:rPr>
          <w:rStyle w:val="FootnoteReference"/>
          <w:rFonts w:ascii="Garamond" w:hAnsi="Garamond" w:cs="Times New Roman"/>
        </w:rPr>
        <w:footnoteReference w:id="17"/>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Logika hukum dapat diartikan sebagai sarana mencari suatu argumentasi agar seorang hakim dapat memutuskan suatu perkara dengan pertimbangan dasar hukum yang tepat, sehingga putusan ataupun penetapan tersebut dapat dipertanggungjawabkan dan mencapai tujaun dari hukum itu sendiri</w:t>
      </w:r>
      <w:r>
        <w:rPr>
          <w:rFonts w:ascii="Garamond" w:hAnsi="Garamond" w:cs="Times New Roman"/>
        </w:rPr>
        <w:t>.</w:t>
      </w:r>
      <w:r w:rsidRPr="007043AC">
        <w:rPr>
          <w:rStyle w:val="FootnoteReference"/>
          <w:rFonts w:ascii="Garamond" w:hAnsi="Garamond" w:cs="Times New Roman"/>
        </w:rPr>
        <w:footnoteReference w:id="18"/>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 xml:space="preserve">Menurut Halper sebagaimana yang dikutip oleh Weruin, bahwa persoalaan hukum tidak dapat diselesikan hanya dengan logika. Logika dianggap berisikan kode-kode yang kaku dan tidak fleksibel, sehingga dapat berefek pada pemahaman bahwa suatu hukum </w:t>
      </w:r>
      <w:r w:rsidRPr="007043AC">
        <w:rPr>
          <w:rFonts w:ascii="Garamond" w:hAnsi="Garamond" w:cs="Times New Roman"/>
        </w:rPr>
        <w:lastRenderedPageBreak/>
        <w:t>dapat diselesaikan secara logis (logika). Maka dari itu, suatu persoalan dan putusan/penetapan hukum tidak boleh hanya terbatas pada makna literer dan proposisi logis saja dengan mengabaikan konteks dan tujuan hukum. Sehingga dalam suatu hukum itu tidak dengan mudah diubah melalui silogisme dan penyimpulan. Prinsip-prinsip hukum harus dapat dipahami dalam konteks yang lebih luas</w:t>
      </w:r>
      <w:r>
        <w:rPr>
          <w:rFonts w:ascii="Garamond" w:hAnsi="Garamond" w:cs="Times New Roman"/>
        </w:rPr>
        <w:t>.</w:t>
      </w:r>
      <w:r w:rsidRPr="007043AC">
        <w:rPr>
          <w:rStyle w:val="FootnoteReference"/>
          <w:rFonts w:ascii="Garamond" w:hAnsi="Garamond" w:cs="Times New Roman"/>
        </w:rPr>
        <w:footnoteReference w:id="19"/>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Pernyataan helper di atas menunjukan ketidaksetujuannya penggunaan logika dalam penyelesaian hukum. Namun di sisi lain, penggunaan logika itu justru memberikan penalaran yang tepat jika setiap orang yang berfikir itu memiliki kerangka asas yang berdasarkan pada prinsip-prinsip defenitif, sehingga tergambar jelas bagaimana batasan konstruktif yang dapat dijadikan dalam dalam memberikan makna</w:t>
      </w:r>
      <w:r>
        <w:rPr>
          <w:rFonts w:ascii="Garamond" w:hAnsi="Garamond" w:cs="Times New Roman"/>
        </w:rPr>
        <w:t>.</w:t>
      </w:r>
      <w:r w:rsidRPr="007043AC">
        <w:rPr>
          <w:rStyle w:val="FootnoteReference"/>
          <w:rFonts w:ascii="Garamond" w:hAnsi="Garamond" w:cs="Times New Roman"/>
        </w:rPr>
        <w:footnoteReference w:id="20"/>
      </w:r>
      <w:r w:rsidRPr="007043AC">
        <w:rPr>
          <w:rFonts w:ascii="Garamond" w:hAnsi="Garamond" w:cs="Times New Roman"/>
        </w:rPr>
        <w:t xml:space="preserve"> Maka penggunaan logika yang tepat, justru mengarah pada penyelesaian hukum yang sesuai dengan kontek dan tujuan hukum itu sendiri sebagaimana yang diharapkan oleh helper tadi.</w:t>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Pernyataan penulis di atas juga semakin relevan dengan adanya pemaparan oleh Edwin W. Patterson yang menulis artikel dengan judul “</w:t>
      </w:r>
      <w:r w:rsidRPr="007043AC">
        <w:rPr>
          <w:rFonts w:ascii="Garamond" w:hAnsi="Garamond" w:cs="Times New Roman"/>
          <w:i/>
        </w:rPr>
        <w:t>Logic In The Law</w:t>
      </w:r>
      <w:r w:rsidRPr="007043AC">
        <w:rPr>
          <w:rFonts w:ascii="Garamond" w:hAnsi="Garamond" w:cs="Times New Roman"/>
        </w:rPr>
        <w:t xml:space="preserve">” yang dikutip oleh Weruin menyebutkan bahwa logika berperan sebagai alat untuk mengontrol emosi, perasaan, prasangka, bahkan juga </w:t>
      </w:r>
      <w:r w:rsidRPr="007043AC">
        <w:rPr>
          <w:rFonts w:ascii="Garamond" w:hAnsi="Garamond" w:cs="Times New Roman"/>
          <w:i/>
        </w:rPr>
        <w:t>passion</w:t>
      </w:r>
      <w:r w:rsidRPr="007043AC">
        <w:rPr>
          <w:rFonts w:ascii="Garamond" w:hAnsi="Garamond" w:cs="Times New Roman"/>
        </w:rPr>
        <w:t xml:space="preserve"> manusia yang berkecamuk dalam perumusan, pelaksanaan, dan penerapan hukum</w:t>
      </w:r>
      <w:r>
        <w:rPr>
          <w:rFonts w:ascii="Garamond" w:hAnsi="Garamond" w:cs="Times New Roman"/>
        </w:rPr>
        <w:t>.</w:t>
      </w:r>
      <w:r w:rsidRPr="007043AC">
        <w:rPr>
          <w:rStyle w:val="FootnoteReference"/>
          <w:rFonts w:ascii="Garamond" w:hAnsi="Garamond" w:cs="Times New Roman"/>
        </w:rPr>
        <w:footnoteReference w:id="21"/>
      </w:r>
      <w:r w:rsidRPr="007043AC">
        <w:rPr>
          <w:rFonts w:ascii="Garamond" w:hAnsi="Garamond" w:cs="Times New Roman"/>
        </w:rPr>
        <w:t xml:space="preserve"> Selain itu, Bernard Arif Sidartha sebagaimana yang dikuti oleh Isnantiana yang menyebutkab bahwa proses-proses pembuatan putusan tidak dapat dilepaskan dari kegiatan bernalar hakim. Kegiatan bernalar dari seorang Hakim itu memiliki keberagaman motivasi yang menopangnya, selalu berada dalam pusaran tarikan keanekaragaman kerangka orientasi berpikir yuridis yang terpelihara dalam sebuah sistem </w:t>
      </w:r>
      <w:r w:rsidRPr="007043AC">
        <w:rPr>
          <w:rFonts w:ascii="Garamond" w:hAnsi="Garamond" w:cs="Times New Roman"/>
          <w:i/>
        </w:rPr>
        <w:t>autopoesis</w:t>
      </w:r>
      <w:r w:rsidRPr="007043AC">
        <w:rPr>
          <w:rFonts w:ascii="Garamond" w:hAnsi="Garamond" w:cs="Times New Roman"/>
        </w:rPr>
        <w:t>, sehingga dapat berkembang menurut logikanya sendiri, dan eksis sebagai sebuah model penalaran yang khas sesuai dengan tugas-tugas profesionalnya</w:t>
      </w:r>
      <w:r>
        <w:rPr>
          <w:rFonts w:ascii="Garamond" w:hAnsi="Garamond" w:cs="Times New Roman"/>
        </w:rPr>
        <w:t>.</w:t>
      </w:r>
      <w:r w:rsidRPr="007043AC">
        <w:rPr>
          <w:rStyle w:val="FootnoteReference"/>
          <w:rFonts w:ascii="Garamond" w:hAnsi="Garamond" w:cs="Times New Roman"/>
        </w:rPr>
        <w:footnoteReference w:id="22"/>
      </w:r>
      <w:r w:rsidRPr="007043AC">
        <w:rPr>
          <w:rFonts w:ascii="Garamond" w:hAnsi="Garamond" w:cs="Times New Roman"/>
        </w:rPr>
        <w:t xml:space="preserve"> Maka dari itu, logika masih relevan digunakan sebagai sarana mencari arguentasi hukum untuk menggapai tujuan hukum yang berasaskan pada asas kepastian, keadilan dan kebermanfaatan hukum.</w:t>
      </w:r>
    </w:p>
    <w:p w:rsidR="00234EA8" w:rsidRPr="007043AC" w:rsidRDefault="00234EA8" w:rsidP="00234EA8">
      <w:pPr>
        <w:pStyle w:val="ListParagraph"/>
        <w:spacing w:after="0"/>
        <w:ind w:left="0" w:firstLine="616"/>
        <w:jc w:val="both"/>
        <w:rPr>
          <w:rFonts w:ascii="Garamond" w:hAnsi="Garamond" w:cs="Times New Roman"/>
        </w:rPr>
      </w:pPr>
      <w:r w:rsidRPr="007043AC">
        <w:rPr>
          <w:rFonts w:ascii="Garamond" w:hAnsi="Garamond" w:cs="Times New Roman"/>
        </w:rPr>
        <w:t xml:space="preserve">Adapun penalaran hukum merupakan hasil dari proses berfikir dengan penggunaan logika itu sendiri. Hasil dari penalaran hukum itu harus mendekati kata “ideal” yaitu tujuan hukum yang berupa keadilan, kepastian dan kemanfaatan hukum itu harus dapat diwujudkan secara simultan dan berimbang. Simultan yang dimaksud adalah tidak boleh hanya terpaut pada salah satu tujuan hukum, sedangkan berimbang adalah proporsional atau tidak menitikberatkan pada salah </w:t>
      </w:r>
      <w:r>
        <w:rPr>
          <w:rFonts w:ascii="Garamond" w:hAnsi="Garamond" w:cs="Times New Roman"/>
        </w:rPr>
        <w:t>satu dari tiga tujuan hukum itu.</w:t>
      </w:r>
      <w:r w:rsidRPr="007043AC">
        <w:rPr>
          <w:rStyle w:val="FootnoteReference"/>
          <w:rFonts w:ascii="Garamond" w:hAnsi="Garamond" w:cs="Times New Roman"/>
        </w:rPr>
        <w:footnoteReference w:id="23"/>
      </w:r>
    </w:p>
    <w:p w:rsidR="00234EA8" w:rsidRPr="007043AC" w:rsidRDefault="00234EA8" w:rsidP="00234EA8">
      <w:pPr>
        <w:spacing w:after="0"/>
        <w:ind w:firstLine="720"/>
        <w:jc w:val="both"/>
        <w:rPr>
          <w:rFonts w:ascii="Garamond" w:hAnsi="Garamond" w:cs="Times New Roman"/>
        </w:rPr>
      </w:pPr>
      <w:r w:rsidRPr="007043AC">
        <w:rPr>
          <w:rFonts w:ascii="Garamond" w:hAnsi="Garamond" w:cs="Times New Roman"/>
        </w:rPr>
        <w:t xml:space="preserve">Penggunaan penalaran logika hukum masih sangat relevan untuk digunakan, terkhsus dalam membaca peraturan perundang-undangan tentang perkawinan beda </w:t>
      </w:r>
      <w:r w:rsidRPr="007043AC">
        <w:rPr>
          <w:rFonts w:ascii="Garamond" w:hAnsi="Garamond" w:cs="Times New Roman"/>
        </w:rPr>
        <w:lastRenderedPageBreak/>
        <w:t>agama di Indonesia. Dengan begitu, seorang hakim akan mampu memberikan putusan/penetapan yang tepat, sehingga sesuai dengan tujuan konstitusi dan kehendak hukum itu sendiri. Pada akhirnya putusan/penetapan seorang hakim pengadilan dapat diterima oleh mayoritas masyarakat muslim Indonesia. Jika suatu putusan/penetapan hakim tidak sesuai dengan tujuan kosntitusi dan kehendak hukum, maka hasil putusan/penetapan hakim (yurisprudensi) akan dapat disalahgunakan bagi oknum pasangan muda beda agama dan menjadi bibit timbulnya pemahaman liberal tentang pernikahan beda agama dalam Islam.</w:t>
      </w:r>
    </w:p>
    <w:p w:rsidR="00234EA8" w:rsidRPr="005A0886" w:rsidRDefault="00234EA8" w:rsidP="005A0886">
      <w:pPr>
        <w:spacing w:before="120" w:after="0" w:line="240" w:lineRule="auto"/>
        <w:jc w:val="both"/>
        <w:rPr>
          <w:rFonts w:ascii="Garamond" w:hAnsi="Garamond"/>
          <w:b/>
          <w:bCs/>
          <w:sz w:val="24"/>
          <w:szCs w:val="24"/>
        </w:rPr>
      </w:pPr>
    </w:p>
    <w:p w:rsidR="005C33FF" w:rsidRPr="005C33FF" w:rsidRDefault="005C33FF" w:rsidP="005C33FF">
      <w:pPr>
        <w:pStyle w:val="ListParagraph"/>
        <w:numPr>
          <w:ilvl w:val="0"/>
          <w:numId w:val="2"/>
        </w:numPr>
        <w:spacing w:after="0"/>
        <w:ind w:left="284" w:hanging="284"/>
        <w:jc w:val="both"/>
        <w:rPr>
          <w:rFonts w:ascii="Garamond" w:hAnsi="Garamond" w:cs="Times New Roman"/>
          <w:b/>
          <w:sz w:val="24"/>
        </w:rPr>
      </w:pPr>
      <w:r w:rsidRPr="005C33FF">
        <w:rPr>
          <w:rFonts w:ascii="Garamond" w:hAnsi="Garamond" w:cs="Times New Roman"/>
          <w:b/>
        </w:rPr>
        <w:t xml:space="preserve">Celah </w:t>
      </w:r>
      <w:r w:rsidRPr="005C33FF">
        <w:rPr>
          <w:rFonts w:ascii="Garamond" w:hAnsi="Garamond" w:cs="Times New Roman"/>
          <w:b/>
          <w:sz w:val="24"/>
        </w:rPr>
        <w:t>Hukum Perkawinan Beda Agama dalam Peraturan Perundang-undangan Indonesia</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Perkawinan beda agama memang tidak dapat terelakan, apalagi masyarakat Indonesia yang heterogen. Belum lagi pembahasan tentang seorang pemuda dan pemudi yang dilanda cinta yang membara. Hal tersebut tidak dapat dipunngkiri, sebagaimana hasil penelitian tentang problema jatuh cinta sebuah tinjauan filosofis yang memaparkan cinta merupakan pengalaman yang menghantarkan pada keinginan-keinginan yang tak terbatas. Selain itu, cinta juga membutuhkan pengorbanan diri dan pemberian demi kekasihnya.</w:t>
      </w:r>
      <w:r w:rsidRPr="005C33FF">
        <w:rPr>
          <w:rStyle w:val="FootnoteReference"/>
          <w:rFonts w:ascii="Garamond" w:hAnsi="Garamond" w:cs="Times New Roman"/>
          <w:sz w:val="24"/>
        </w:rPr>
        <w:footnoteReference w:id="24"/>
      </w:r>
      <w:r w:rsidRPr="005C33FF">
        <w:rPr>
          <w:rFonts w:ascii="Garamond" w:hAnsi="Garamond" w:cs="Times New Roman"/>
          <w:sz w:val="24"/>
        </w:rPr>
        <w:t xml:space="preserve"> Pernyataan di atas menunjukan bahwa ada kemungkinan seseorang yang jatuh cinta akan berusaha dengan sepenuh hatinya untuk mencari cara (celah hukum) agar dapat hidup bersama dalam ikatan perkawinan. Bahkan tidak hanya celah hukum dalam perundang-undangan, tetapi juga celah hukum dalam ajaran agama.</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Berbicara tentang celah hukum, ada banyak celah hukum yang menjadikan kawin beda agama dapat dilaksanakan di Indonesia. Hal tersebut dapat dilihat dalam peraturan perundang-undangan Indonesia itu sendiri dan juga konsideran yang dijabarkan dalam penetapan pengadilan negeri atas permohonan yang diajukan oleh pemohon. Selain itu, terdapat juga pemahaman masyarakat terhadap ajaran agama yang menjadikan mereka berani untuk melakukan kawin beda agama dengan meyakini tafsiran atau intepretasi seseorang dari yang dianggap pakar dalam hal perkawinan di dalam keyakinannya.</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 xml:space="preserve">Pada aturan perkawinan, Indonesia telah memiliki Undang-Undang Nomor 1 Tahun 1974 tentang Perkawinan yang kemudian terdapat perubahan dengan dikeluarkannya Undang-Undang Nomor 16 Tahun 2019. Pada Pasal 2 </w:t>
      </w:r>
      <w:r w:rsidRPr="005C33FF">
        <w:rPr>
          <w:rFonts w:ascii="Garamond" w:hAnsi="Garamond" w:cs="Times New Roman"/>
          <w:sz w:val="24"/>
        </w:rPr>
        <w:lastRenderedPageBreak/>
        <w:t>Ayat 1 UU Perkawinan menyebutkan bahwa perkawinan itu dikatakan sah apabila dilakukan sesuai dengan agama dan kepercayaannya masing-masing. Kemudian pada ayat 2-nya menyebutkan bahwa perkawinan itu harus dicatatkan menurut peraturan perundang-undangan yang berlaku. Peraturan ini merupakan dasar hukum yang digunakan untuk melaksanakan pernikahan bagi seluruh rakyat Indonesia. Namun dengan Pasal 2 Ayat 1 itu jugalah para calon pengantin berpegang sebagai dasar hukum untuk dibolehkannya pernikahan beda agama.</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Selain pada pasal 2 ayat 1, terdapat Pasal 8 huruf f yang menyebutkan bahwa perkawinan yang dilarang itu adalah perkawinan yang dalam agamanya terdapat aturan pelarangan kawin. Seperti perkawinan beda agama yang memang meyakini bahwa menikah beda agama itu dilarang, baik antara pria muslim dengan wanita non muslim, maupun pria non muslim dengan wanita muslimah. Jika bagi individu yang meyakini seperti demikian, maka menurut undang-undangan juga melarang itu untuk dilakukan.</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 xml:space="preserve">Penjabaran di atas menunjukan bahwa Undang-Undang Nomor 1 Tahun 1974 tentang Perkawinan tidak memberikan penjelasan secara pasti bahwa perkawinan beda agama itu dilarang. Terutama dalam Pasal 2 Ayat (1) dan Pasal 8 huruf f. Kedua pasal tersebut seperti memberikan peluang sebebas-bebasnya bagi masyarakat untuk dipahami sesuai dengan keinginan calon pengantin atau kuasa hukumnya. </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Pasal 2 Ayat (1) tersebut tidak menjelaskan apakah memahami ajaran agama itu harus seperti suatu paham atau mazhab tertentu, ataukah diberikan sebebas-bebasnya bagi masyarakat untuk menafsirkan maksud dari Pasal tersebut?. Jika ada orang yang inginnya menikah beda agama, tentu ia akan memilih pemahaman ajaran agama yang membolehkan untuk menikah dengan seseorang yang berbeda agama. ini merupakan suatu keanehan dari Peraturan Perundang-undangan yang tidak memberikan kepastian hukum, sedangkan salah satu tujuan dari dibuatnya suatu aturan adalah untuk memberikan kepastian hukum bagi masyarakatnya.</w:t>
      </w:r>
      <w:r w:rsidRPr="005C33FF">
        <w:rPr>
          <w:rStyle w:val="FootnoteReference"/>
          <w:rFonts w:ascii="Garamond" w:hAnsi="Garamond" w:cs="Times New Roman"/>
          <w:sz w:val="24"/>
        </w:rPr>
        <w:footnoteReference w:id="25"/>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 xml:space="preserve"> Hasil dari pemahaman (celah hukum) di atas seolah olah mendapatkan dukungan nyata dengan dikeluarkannya Putusan Mahkamah Agung terkait permohonan kasasi dari pemohon atas nama Andi Vonny Gani P. yang tidak menerima penetapan Hakim Pengadilan Negeri Jakarta Pusat dengan Nomor Perkara 382/Pdt.P/1986/PN.JKT.PST yang berbunyi menolak permohonan pemohon untuk pelaksanaan perkawinan beda agama di KUA Kecamatan </w:t>
      </w:r>
      <w:r w:rsidRPr="005C33FF">
        <w:rPr>
          <w:rFonts w:ascii="Garamond" w:hAnsi="Garamond" w:cs="Times New Roman"/>
          <w:sz w:val="24"/>
        </w:rPr>
        <w:lastRenderedPageBreak/>
        <w:t>Tanah Abang dan Kantor Catatan Sipil Jakarta. Akan tetapi, pengajuan Kasasi tersebut, oleh Mahkamah Agung dikeluarkan putusan Nomor 1400 K/Pdt/1986 yang intinya berbunyi bahwa pemohon tidak dapat melakukan pernikahan beda agama di KUA namun dapat dilakukan di Kantor Catatan Sipil atas dasar penetapan pengadilan.</w:t>
      </w:r>
      <w:r w:rsidRPr="005C33FF">
        <w:rPr>
          <w:rStyle w:val="FootnoteReference"/>
          <w:rFonts w:ascii="Garamond" w:hAnsi="Garamond" w:cs="Times New Roman"/>
          <w:sz w:val="24"/>
        </w:rPr>
        <w:footnoteReference w:id="26"/>
      </w:r>
      <w:r w:rsidRPr="005C33FF">
        <w:rPr>
          <w:rFonts w:ascii="Garamond" w:hAnsi="Garamond" w:cs="Times New Roman"/>
          <w:sz w:val="24"/>
        </w:rPr>
        <w:t xml:space="preserve"> Maka semakin jelaslah bahwa UU Perkawinan memang tidak mengatur secara jelas kebolehan nikah beda agama. Justru adanya Putusan Mahkamah Agung tadi menjadi dasar hukum dibolehkannya pernikahan beda agama.</w:t>
      </w:r>
    </w:p>
    <w:p w:rsidR="005C33FF" w:rsidRPr="005C33FF" w:rsidRDefault="005C33FF" w:rsidP="005C33FF">
      <w:pPr>
        <w:pStyle w:val="ListParagraph"/>
        <w:spacing w:after="0"/>
        <w:ind w:left="270" w:firstLine="709"/>
        <w:jc w:val="both"/>
        <w:rPr>
          <w:rFonts w:ascii="Garamond" w:hAnsi="Garamond" w:cs="Times New Roman"/>
          <w:sz w:val="24"/>
        </w:rPr>
      </w:pPr>
      <w:r w:rsidRPr="005C33FF">
        <w:rPr>
          <w:rFonts w:ascii="Garamond" w:hAnsi="Garamond" w:cs="Times New Roman"/>
          <w:sz w:val="24"/>
        </w:rPr>
        <w:t>Selain dari Putusan Mahkamah Agung Nomor 1400 K/Pdt/1986, terdapat juga aturan yang dapat diinterpretasikan sebagai dasar hukum dibolehkannya pernikahan beda agama, yaitu  Pasal 29 Ayat (2) UUD 1945 yang menyatakan bahwa negara menjamin kemerdekaan setiap warga negaranya untuk memeluk dan menjalankan peribadatannya sesuai dengan agama dan kepercayaanya masing-masing. Kata “sesuai dengan agama dan kepercayaannya masing-masing” merupakan penekanannya, seolah-olah Kosntitusi sangat membebaskan semua pemahaman ajaran agama itu dapat dijalankan begitu saja, tanpa harus melihat aturan-aturan yang berlaku lainnya.</w:t>
      </w:r>
    </w:p>
    <w:p w:rsidR="005C33FF" w:rsidRPr="005C33FF" w:rsidRDefault="005C33FF" w:rsidP="005C33FF">
      <w:pPr>
        <w:pStyle w:val="ListParagraph"/>
        <w:spacing w:after="0"/>
        <w:ind w:left="270" w:firstLine="709"/>
        <w:jc w:val="both"/>
        <w:rPr>
          <w:rFonts w:ascii="Garamond" w:hAnsi="Garamond" w:cs="Times New Roman"/>
          <w:sz w:val="24"/>
        </w:rPr>
      </w:pPr>
    </w:p>
    <w:p w:rsidR="005C33FF" w:rsidRPr="005C33FF" w:rsidRDefault="005C33FF" w:rsidP="005C33FF">
      <w:pPr>
        <w:pStyle w:val="ListParagraph"/>
        <w:numPr>
          <w:ilvl w:val="0"/>
          <w:numId w:val="2"/>
        </w:numPr>
        <w:spacing w:after="0"/>
        <w:ind w:left="284" w:hanging="284"/>
        <w:jc w:val="both"/>
        <w:rPr>
          <w:rFonts w:ascii="Garamond" w:hAnsi="Garamond" w:cs="Times New Roman"/>
          <w:b/>
          <w:sz w:val="24"/>
        </w:rPr>
      </w:pPr>
      <w:r w:rsidRPr="005C33FF">
        <w:rPr>
          <w:rFonts w:ascii="Garamond" w:hAnsi="Garamond" w:cs="Times New Roman"/>
          <w:b/>
          <w:sz w:val="24"/>
        </w:rPr>
        <w:t xml:space="preserve">Penalaran Logika Hukum terhadap Peraturan Perundang-undangan Indonesia tentang Perkawinan Beda Agama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rPr>
        <w:t xml:space="preserve">Indonesia memiliki konstitusi yang wajib untuk diikuti, yaitu Undang-Undang Dasar (UUD) 1945 Republik Indonesia. Pada alinea keempat UUD 1945 menyebutkan bahwa pemerintah melindungi segenap bangsa Indonesia dan seluruh tumpah darah Indonesia dan untuk memajukan kesejahteraan umum, </w:t>
      </w:r>
      <w:r w:rsidRPr="005C33FF">
        <w:rPr>
          <w:rFonts w:ascii="Garamond" w:hAnsi="Garamond" w:cs="Times New Roman"/>
          <w:sz w:val="24"/>
          <w:szCs w:val="24"/>
        </w:rPr>
        <w:t xml:space="preserve">mencerdaskan kehidupan bangsa serta ikut melaksanakan ketertiban dunia yang berdasarkan kemerdekaan, perdamaian abadi dan keadilan sosial. Jika dilihat dengan pendekatan substantif dari teorinya Liav Orgad yang dikutip oleh Mei Susanto dalam artikelnya yang berjudul “Kedudukan dan Fungsi Pembukaan Undang-Undang Dasar 1945: Pembelajaran Dari Tren Global” menyebutkan bahwa </w:t>
      </w:r>
      <w:r w:rsidRPr="005C33FF">
        <w:rPr>
          <w:rFonts w:ascii="Garamond" w:hAnsi="Garamond" w:cs="Times New Roman"/>
          <w:i/>
          <w:sz w:val="24"/>
          <w:szCs w:val="24"/>
        </w:rPr>
        <w:t xml:space="preserve">in substantive terms </w:t>
      </w:r>
      <w:r w:rsidRPr="005C33FF">
        <w:rPr>
          <w:rFonts w:ascii="Garamond" w:hAnsi="Garamond" w:cs="Times New Roman"/>
          <w:sz w:val="24"/>
          <w:szCs w:val="24"/>
        </w:rPr>
        <w:t>terdiri dari narasi kesejarahan, kedaulatan, tujuan tertinggi, identitas nasional dan berkenaan dengan tuhan. Maka pada UUD 1945 alenia ke-4 merupakan bagian dari tujuan tertinggi “</w:t>
      </w:r>
      <w:r w:rsidRPr="005C33FF">
        <w:rPr>
          <w:rFonts w:ascii="Garamond" w:hAnsi="Garamond" w:cs="Times New Roman"/>
          <w:i/>
          <w:sz w:val="24"/>
          <w:szCs w:val="24"/>
        </w:rPr>
        <w:t>supreme</w:t>
      </w:r>
      <w:r w:rsidRPr="005C33FF">
        <w:rPr>
          <w:rFonts w:ascii="Garamond" w:hAnsi="Garamond" w:cs="Times New Roman"/>
          <w:sz w:val="24"/>
          <w:szCs w:val="24"/>
        </w:rPr>
        <w:t xml:space="preserve"> </w:t>
      </w:r>
      <w:r w:rsidRPr="005C33FF">
        <w:rPr>
          <w:rFonts w:ascii="Garamond" w:hAnsi="Garamond" w:cs="Times New Roman"/>
          <w:i/>
          <w:sz w:val="24"/>
          <w:szCs w:val="24"/>
        </w:rPr>
        <w:t xml:space="preserve">goals” </w:t>
      </w:r>
      <w:r w:rsidRPr="005C33FF">
        <w:rPr>
          <w:rFonts w:ascii="Garamond" w:hAnsi="Garamond" w:cs="Times New Roman"/>
          <w:sz w:val="24"/>
          <w:szCs w:val="24"/>
        </w:rPr>
        <w:t xml:space="preserve">yaitu memajukan kesejahteraan umum, mencerdaskan </w:t>
      </w:r>
      <w:r w:rsidRPr="005C33FF">
        <w:rPr>
          <w:rFonts w:ascii="Garamond" w:hAnsi="Garamond" w:cs="Times New Roman"/>
          <w:sz w:val="24"/>
          <w:szCs w:val="24"/>
        </w:rPr>
        <w:lastRenderedPageBreak/>
        <w:t>kehidupan bangsa serta ikut melaksanakan ketertiban dunia yang berdasarkan kemerdekaan, perdamaian abadi dan keadilan sosial.</w:t>
      </w:r>
      <w:r w:rsidRPr="005C33FF">
        <w:rPr>
          <w:rStyle w:val="FootnoteReference"/>
          <w:rFonts w:ascii="Garamond" w:hAnsi="Garamond" w:cs="Times New Roman"/>
          <w:sz w:val="24"/>
          <w:szCs w:val="24"/>
        </w:rPr>
        <w:footnoteReference w:id="27"/>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Konsekuensi dari Pembukaan UUD 1945 dikategorikan sebagai tujuan tertinggi dari konstitusi adalah pasal-pasal di bawahnya dan peraturan perundang-undang lainnya tidak boleh bertentangan dengan tujuan tersebut. Maka menjadi wajar, jika Pasal 7 UU Nomor 12 Tahun 2011 tentang Pembentukan Peraturan Perundang-Undangan berbunyi bahwa hirarki dari peraturan perundang-undangan  adalah UUD 1945, Ketetapan MPR, UU atau Peraturan Pemerintah Pengganti UU, Peraturan Pemerintah, Perpres, Perda Provinsi dan Perda Kabupaten/Kota.</w:t>
      </w:r>
      <w:r w:rsidRPr="005C33FF">
        <w:rPr>
          <w:rStyle w:val="FootnoteReference"/>
          <w:rFonts w:ascii="Garamond" w:hAnsi="Garamond" w:cs="Times New Roman"/>
          <w:sz w:val="24"/>
          <w:szCs w:val="24"/>
        </w:rPr>
        <w:footnoteReference w:id="28"/>
      </w:r>
      <w:r w:rsidRPr="005C33FF">
        <w:rPr>
          <w:rFonts w:ascii="Garamond" w:hAnsi="Garamond" w:cs="Times New Roman"/>
          <w:sz w:val="24"/>
          <w:szCs w:val="24"/>
        </w:rPr>
        <w:t xml:space="preserve"> Maka dari itu, putusan ataupun penetapan hakim (sebagai yurisprudensi) harus dapat menjadi bagian dari upaya merealisasika tujuan konstitusi, yaitu memajukan kesejahteraan umum, mencerdaskan kehidupan bangsa serta ikut melaksanakan ketertiban dunia yang berdasarkan kemerdekaan, perdamaian abadi dan keadilan sosial.</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 xml:space="preserve">Penulis berfokus kepada kata “perdamaian abadi dan keadilan sosial”. Kata tersebut menjadi penting untuk dipahami secara dalam agar setiap hakim benar-benar mengetahui bahwa memberikan persetujuan pada penetapan pernikahan beda agama adalah hal yang berselisih dengan kata perdamaian abadi dan keadilan sosial. Banyak penulis artikel cerdas saat ini yang membahas tentang bagaimana kemudharatan dan kemaslahatan dalam melakukan perkawinan beda agama dengan berbagai teori ataupun pendekatan. Salah satunya adalah dengan pendekatan maqashid syariah yang menyebutkan bahwa pernikahan beda agama bertentangan dengan konsep </w:t>
      </w:r>
      <w:r w:rsidRPr="005C33FF">
        <w:rPr>
          <w:rFonts w:ascii="Garamond" w:hAnsi="Garamond" w:cs="Times New Roman"/>
          <w:i/>
          <w:sz w:val="24"/>
          <w:szCs w:val="24"/>
        </w:rPr>
        <w:t>maqashid syariah</w:t>
      </w:r>
      <w:r w:rsidRPr="005C33FF">
        <w:rPr>
          <w:rFonts w:ascii="Garamond" w:hAnsi="Garamond" w:cs="Times New Roman"/>
          <w:sz w:val="24"/>
          <w:szCs w:val="24"/>
        </w:rPr>
        <w:t xml:space="preserve"> baik dari segi </w:t>
      </w:r>
      <w:r w:rsidRPr="005C33FF">
        <w:rPr>
          <w:rFonts w:ascii="Garamond" w:hAnsi="Garamond" w:cs="Times New Roman"/>
          <w:i/>
          <w:sz w:val="24"/>
          <w:szCs w:val="24"/>
        </w:rPr>
        <w:t xml:space="preserve">Hifz ad-Din </w:t>
      </w:r>
      <w:r w:rsidRPr="005C33FF">
        <w:rPr>
          <w:rFonts w:ascii="Garamond" w:hAnsi="Garamond" w:cs="Times New Roman"/>
          <w:sz w:val="24"/>
          <w:szCs w:val="24"/>
        </w:rPr>
        <w:t>(menjaga agama),</w:t>
      </w:r>
      <w:r w:rsidRPr="005C33FF">
        <w:rPr>
          <w:rFonts w:ascii="Garamond" w:hAnsi="Garamond" w:cs="Times New Roman"/>
          <w:i/>
          <w:sz w:val="24"/>
          <w:szCs w:val="24"/>
        </w:rPr>
        <w:t xml:space="preserve"> Hifz an-Nafs </w:t>
      </w:r>
      <w:r w:rsidRPr="005C33FF">
        <w:rPr>
          <w:rFonts w:ascii="Garamond" w:hAnsi="Garamond" w:cs="Times New Roman"/>
          <w:sz w:val="24"/>
          <w:szCs w:val="24"/>
        </w:rPr>
        <w:t>(menjaga jiwa),</w:t>
      </w:r>
      <w:r w:rsidRPr="005C33FF">
        <w:rPr>
          <w:rFonts w:ascii="Garamond" w:hAnsi="Garamond" w:cs="Times New Roman"/>
          <w:i/>
          <w:sz w:val="24"/>
          <w:szCs w:val="24"/>
        </w:rPr>
        <w:t xml:space="preserve"> Hifz al-Aql </w:t>
      </w:r>
      <w:r w:rsidRPr="005C33FF">
        <w:rPr>
          <w:rFonts w:ascii="Garamond" w:hAnsi="Garamond" w:cs="Times New Roman"/>
          <w:sz w:val="24"/>
          <w:szCs w:val="24"/>
        </w:rPr>
        <w:t>(menjaga akal),</w:t>
      </w:r>
      <w:r w:rsidRPr="005C33FF">
        <w:rPr>
          <w:rFonts w:ascii="Garamond" w:hAnsi="Garamond" w:cs="Times New Roman"/>
          <w:i/>
          <w:sz w:val="24"/>
          <w:szCs w:val="24"/>
        </w:rPr>
        <w:t xml:space="preserve"> Hifz al-Nasl </w:t>
      </w:r>
      <w:r w:rsidRPr="005C33FF">
        <w:rPr>
          <w:rFonts w:ascii="Garamond" w:hAnsi="Garamond" w:cs="Times New Roman"/>
          <w:sz w:val="24"/>
          <w:szCs w:val="24"/>
        </w:rPr>
        <w:t>(menjaga keturunan)</w:t>
      </w:r>
      <w:r w:rsidRPr="005C33FF">
        <w:rPr>
          <w:rFonts w:ascii="Garamond" w:hAnsi="Garamond" w:cs="Times New Roman"/>
          <w:i/>
          <w:sz w:val="24"/>
          <w:szCs w:val="24"/>
        </w:rPr>
        <w:t xml:space="preserve"> </w:t>
      </w:r>
      <w:r w:rsidRPr="005C33FF">
        <w:rPr>
          <w:rFonts w:ascii="Garamond" w:hAnsi="Garamond" w:cs="Times New Roman"/>
          <w:sz w:val="24"/>
          <w:szCs w:val="24"/>
        </w:rPr>
        <w:t>dan</w:t>
      </w:r>
      <w:r w:rsidRPr="005C33FF">
        <w:rPr>
          <w:rFonts w:ascii="Garamond" w:hAnsi="Garamond" w:cs="Times New Roman"/>
          <w:i/>
          <w:sz w:val="24"/>
          <w:szCs w:val="24"/>
        </w:rPr>
        <w:t xml:space="preserve"> Hifz al-Maal </w:t>
      </w:r>
      <w:r w:rsidRPr="005C33FF">
        <w:rPr>
          <w:rFonts w:ascii="Garamond" w:hAnsi="Garamond" w:cs="Times New Roman"/>
          <w:sz w:val="24"/>
          <w:szCs w:val="24"/>
        </w:rPr>
        <w:t>(menjaga harta)</w:t>
      </w:r>
      <w:r w:rsidR="00B8324B">
        <w:rPr>
          <w:rFonts w:ascii="Garamond" w:hAnsi="Garamond" w:cs="Times New Roman"/>
          <w:sz w:val="24"/>
          <w:szCs w:val="24"/>
        </w:rPr>
        <w:t>.</w:t>
      </w:r>
      <w:r w:rsidRPr="005C33FF">
        <w:rPr>
          <w:rStyle w:val="FootnoteReference"/>
          <w:rFonts w:ascii="Garamond" w:hAnsi="Garamond" w:cs="Times New Roman"/>
          <w:i/>
          <w:sz w:val="24"/>
          <w:szCs w:val="24"/>
        </w:rPr>
        <w:footnoteReference w:id="29"/>
      </w:r>
      <w:r w:rsidRPr="005C33FF">
        <w:rPr>
          <w:rFonts w:ascii="Garamond" w:hAnsi="Garamond" w:cs="Times New Roman"/>
          <w:sz w:val="24"/>
          <w:szCs w:val="24"/>
        </w:rPr>
        <w:t xml:space="preserve"> Jika sudah banyak kajian kemudharatan dalam pernikahan rumah tangga, maka akhirnya kehidupan rumah tangga tidak akan bahagia. Padahal dalam agama Islam, salah satu tujuan pernikahan itu adalah mendapatkan kebahagiaan dan ketentraman.</w:t>
      </w:r>
      <w:r w:rsidRPr="005C33FF">
        <w:rPr>
          <w:rStyle w:val="FootnoteReference"/>
          <w:rFonts w:ascii="Garamond" w:hAnsi="Garamond" w:cs="Times New Roman"/>
          <w:sz w:val="24"/>
          <w:szCs w:val="24"/>
        </w:rPr>
        <w:footnoteReference w:id="30"/>
      </w:r>
      <w:r w:rsidRPr="005C33FF">
        <w:rPr>
          <w:rFonts w:ascii="Garamond" w:hAnsi="Garamond" w:cs="Times New Roman"/>
          <w:sz w:val="24"/>
          <w:szCs w:val="24"/>
        </w:rPr>
        <w:t xml:space="preserve"> Jika sudah dianggap banyak memberikan kemudharatan dan tujuan pernikahan tidak tercapai, maka akan terjadi </w:t>
      </w:r>
      <w:r w:rsidRPr="005C33FF">
        <w:rPr>
          <w:rFonts w:ascii="Garamond" w:hAnsi="Garamond" w:cs="Times New Roman"/>
          <w:sz w:val="24"/>
          <w:szCs w:val="24"/>
        </w:rPr>
        <w:lastRenderedPageBreak/>
        <w:t xml:space="preserve">perceraian yang akhirnya tujuan konstitusi tidak dapat direalisasikan, khususnya pada tujuan perdamaian abadi.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Pada kata “keadilan sosial” maka seharusnya hakim dapat melihat bagaimana kondisi masyarakat Indonesia yang mayoritasnya adalah beragama Islam dengan mengikuti pemhaman ulama mazhab yang sudah dikenal di dunia, yaitu Imam Hanafi, Imam Maliki, Imam Syafi’I dan Imam Hambali. Dari seluruh imam mazhab tersebut, Imam Syfai’i-lah yang memiliki pengaruh besar terhadap umat islam di Indonesia.</w:t>
      </w:r>
      <w:r w:rsidRPr="005C33FF">
        <w:rPr>
          <w:rStyle w:val="FootnoteReference"/>
          <w:rFonts w:ascii="Garamond" w:hAnsi="Garamond" w:cs="Times New Roman"/>
          <w:sz w:val="24"/>
          <w:szCs w:val="24"/>
        </w:rPr>
        <w:footnoteReference w:id="31"/>
      </w:r>
      <w:r w:rsidRPr="005C33FF">
        <w:rPr>
          <w:rFonts w:ascii="Garamond" w:hAnsi="Garamond" w:cs="Times New Roman"/>
          <w:sz w:val="24"/>
          <w:szCs w:val="24"/>
        </w:rPr>
        <w:t xml:space="preserve"> Adapun pendapat jumhur ulama (termasuk Imam Syafi’I) terhadap pernikahan Pria Non Muslim dengan Wanita Muslimah adalah Haram.</w:t>
      </w:r>
      <w:r w:rsidRPr="005C33FF">
        <w:rPr>
          <w:rStyle w:val="FootnoteReference"/>
          <w:rFonts w:ascii="Garamond" w:hAnsi="Garamond" w:cs="Times New Roman"/>
          <w:sz w:val="24"/>
          <w:szCs w:val="24"/>
        </w:rPr>
        <w:footnoteReference w:id="32"/>
      </w:r>
      <w:r w:rsidRPr="005C33FF">
        <w:rPr>
          <w:rFonts w:ascii="Garamond" w:hAnsi="Garamond" w:cs="Times New Roman"/>
          <w:sz w:val="24"/>
          <w:szCs w:val="24"/>
        </w:rPr>
        <w:t xml:space="preserve"> Maka dapat disimpulkan bahwa sebaiknya hakim tidak memutuskan bolehnya pernikahan beda agama, karena kehendak masyarakat muslim di Indonesia adalah dilarangnya pernikahan beda agama, apalagi pernikahan antara pria non muslim dengan wanita muslimah. </w:t>
      </w:r>
    </w:p>
    <w:p w:rsidR="005C33FF" w:rsidRPr="005C33FF" w:rsidRDefault="005C33FF" w:rsidP="005C33FF">
      <w:pPr>
        <w:pStyle w:val="ListParagraph"/>
        <w:spacing w:after="0"/>
        <w:ind w:left="270" w:firstLine="616"/>
        <w:jc w:val="both"/>
        <w:rPr>
          <w:rFonts w:ascii="Garamond" w:hAnsi="Garamond" w:cs="Times New Roman"/>
          <w:sz w:val="24"/>
          <w:szCs w:val="24"/>
          <w:lang w:eastAsia="id-ID"/>
        </w:rPr>
      </w:pPr>
      <w:r w:rsidRPr="005C33FF">
        <w:rPr>
          <w:rFonts w:ascii="Garamond" w:hAnsi="Garamond" w:cs="Times New Roman"/>
          <w:sz w:val="24"/>
          <w:szCs w:val="24"/>
          <w:lang w:eastAsia="id-ID"/>
        </w:rPr>
        <w:t>P</w:t>
      </w:r>
      <w:r w:rsidRPr="005C33FF">
        <w:rPr>
          <w:rFonts w:ascii="Garamond" w:hAnsi="Garamond" w:cs="Times New Roman"/>
          <w:sz w:val="24"/>
          <w:szCs w:val="24"/>
          <w:lang w:val="id-ID" w:eastAsia="id-ID"/>
        </w:rPr>
        <w:t>ada Undang-Undang No</w:t>
      </w:r>
      <w:r w:rsidRPr="005C33FF">
        <w:rPr>
          <w:rFonts w:ascii="Garamond" w:hAnsi="Garamond" w:cs="Times New Roman"/>
          <w:sz w:val="24"/>
          <w:szCs w:val="24"/>
          <w:lang w:eastAsia="id-ID"/>
        </w:rPr>
        <w:t xml:space="preserve">mor </w:t>
      </w:r>
      <w:r w:rsidRPr="005C33FF">
        <w:rPr>
          <w:rFonts w:ascii="Garamond" w:hAnsi="Garamond" w:cs="Times New Roman"/>
          <w:sz w:val="24"/>
          <w:szCs w:val="24"/>
          <w:lang w:val="id-ID" w:eastAsia="id-ID"/>
        </w:rPr>
        <w:t xml:space="preserve">48 Tahun 2009 tentang kekuasaan kehakiman </w:t>
      </w:r>
      <w:r w:rsidRPr="005C33FF">
        <w:rPr>
          <w:rFonts w:ascii="Garamond" w:hAnsi="Garamond" w:cs="Times New Roman"/>
          <w:sz w:val="24"/>
          <w:szCs w:val="24"/>
          <w:lang w:eastAsia="id-ID"/>
        </w:rPr>
        <w:t xml:space="preserve">Pasal </w:t>
      </w:r>
      <w:r w:rsidRPr="005C33FF">
        <w:rPr>
          <w:rFonts w:ascii="Garamond" w:hAnsi="Garamond" w:cs="Times New Roman"/>
          <w:sz w:val="24"/>
          <w:szCs w:val="24"/>
          <w:lang w:val="id-ID" w:eastAsia="id-ID"/>
        </w:rPr>
        <w:t xml:space="preserve">5 ayat (1) </w:t>
      </w:r>
      <w:r w:rsidRPr="005C33FF">
        <w:rPr>
          <w:rFonts w:ascii="Garamond" w:hAnsi="Garamond" w:cs="Times New Roman"/>
          <w:sz w:val="24"/>
          <w:szCs w:val="24"/>
          <w:lang w:eastAsia="id-ID"/>
        </w:rPr>
        <w:t xml:space="preserve">berbunyi bahwa </w:t>
      </w:r>
      <w:r w:rsidRPr="005C33FF">
        <w:rPr>
          <w:rFonts w:ascii="Garamond" w:hAnsi="Garamond" w:cs="Times New Roman"/>
          <w:sz w:val="24"/>
          <w:szCs w:val="24"/>
          <w:lang w:val="id-ID" w:eastAsia="id-ID"/>
        </w:rPr>
        <w:t xml:space="preserve">Hakim </w:t>
      </w:r>
      <w:r w:rsidRPr="005C33FF">
        <w:rPr>
          <w:rFonts w:ascii="Garamond" w:hAnsi="Garamond" w:cs="Times New Roman"/>
          <w:sz w:val="24"/>
          <w:szCs w:val="24"/>
          <w:lang w:eastAsia="id-ID"/>
        </w:rPr>
        <w:t>wajib</w:t>
      </w:r>
      <w:r w:rsidRPr="005C33FF">
        <w:rPr>
          <w:rFonts w:ascii="Garamond" w:hAnsi="Garamond" w:cs="Times New Roman"/>
          <w:sz w:val="24"/>
          <w:szCs w:val="24"/>
          <w:lang w:val="id-ID" w:eastAsia="id-ID"/>
        </w:rPr>
        <w:t xml:space="preserve"> menggali, mengikuti, dan memahami nilai-nilai hukum dan rasa keadilan yang hidup dalam masyarakat</w:t>
      </w:r>
      <w:r w:rsidRPr="005C33FF">
        <w:rPr>
          <w:rFonts w:ascii="Garamond" w:hAnsi="Garamond" w:cs="Times New Roman"/>
          <w:sz w:val="24"/>
          <w:szCs w:val="24"/>
          <w:lang w:eastAsia="id-ID"/>
        </w:rPr>
        <w:t xml:space="preserve">. Pasal ini menujukan bahwa seorang hakim harus memberikan putusan/penetapan, dimana putusan itu tidak hanya memberikan kepastian hukum dan rasa keadilan bagi para pihak saja, melainkan juga harus menjadi pembelajaran bagi masyarakat bahwa hukum itu tepat sasaran dan sesuai dengan rasa keadilan mayoritas masyarakat islam di Indonesia. Karena putusan ataupun penetapan hakim itu akan menjadi yurisprudensi yang dapat dijadikan dasar hukum dalam perkara yang memiliki kemiripan kasus.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lang w:eastAsia="id-ID"/>
        </w:rPr>
        <w:t xml:space="preserve">Hal di atas semakin tepat jika kita lihat pada Pasal 50 Ayat 1 yang menyebutkan bahwa </w:t>
      </w:r>
      <w:r w:rsidRPr="005C33FF">
        <w:rPr>
          <w:rFonts w:ascii="Garamond" w:hAnsi="Garamond" w:cs="Times New Roman"/>
          <w:sz w:val="24"/>
          <w:szCs w:val="24"/>
        </w:rPr>
        <w:t xml:space="preserve">putusan pengadilan itu selain harus memuat alasan dan dasar putusan, juga memuat pasal tertentu dari peraturan perundang-undangan yang bersangkutan atau sumber hukum tak tertulis yang dijadikan dasar untuk mengadili. Dasar hukum yang tak tertulis itu dapat berupa hukum adat yang kecenderungannya diresepsi oleh hukum islam karena mayoritas masyarakat Indonesia adalah muslim. Sehingga salah satu bentuk hukum tak tertulis yang dapat dijadikan dasar hukum putusan ataupun penetapan hakim adalah hukum islam yang mengharamkan dilakukannya pernikahan antara pria non muslim </w:t>
      </w:r>
      <w:r w:rsidRPr="005C33FF">
        <w:rPr>
          <w:rFonts w:ascii="Garamond" w:hAnsi="Garamond" w:cs="Times New Roman"/>
          <w:sz w:val="24"/>
          <w:szCs w:val="24"/>
        </w:rPr>
        <w:lastRenderedPageBreak/>
        <w:t>dengan wanita muslimah. Inilah pendapat jumhur ulama (ijmak) yang merupakan salah satu sumber hukum islam pada urutan ketiga setelah Al-Qur’an dan Hadis.</w:t>
      </w:r>
      <w:r w:rsidRPr="005C33FF">
        <w:rPr>
          <w:rStyle w:val="FootnoteReference"/>
          <w:rFonts w:ascii="Garamond" w:hAnsi="Garamond" w:cs="Times New Roman"/>
          <w:sz w:val="24"/>
          <w:szCs w:val="24"/>
        </w:rPr>
        <w:footnoteReference w:id="33"/>
      </w:r>
      <w:r w:rsidRPr="005C33FF">
        <w:rPr>
          <w:rFonts w:ascii="Garamond" w:hAnsi="Garamond" w:cs="Times New Roman"/>
          <w:sz w:val="24"/>
          <w:szCs w:val="24"/>
        </w:rPr>
        <w:t xml:space="preserve">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Selain dari kehendak mayoritas masyarakat muslim Indonesia, kehendak tersebut dapat juga dilihat pada masyarakat yang tidak beragama Islam. Dalam sebuah penelitian memaparkan bahwa tokoh masyarakat lintas agama juga berharap tidak terjadinya pernikahan beda agama, karena akan membuat para agamawan sulit untuk membina individu masyrakat dari segi teologisnya. Maka mereka kan sekuat tenaga untuk membina umatnya agar tidak melakukan pernikahan beda agama.</w:t>
      </w:r>
      <w:r w:rsidRPr="005C33FF">
        <w:rPr>
          <w:rStyle w:val="FootnoteReference"/>
          <w:rFonts w:ascii="Garamond" w:hAnsi="Garamond" w:cs="Times New Roman"/>
          <w:sz w:val="24"/>
          <w:szCs w:val="24"/>
        </w:rPr>
        <w:footnoteReference w:id="34"/>
      </w:r>
      <w:r w:rsidRPr="005C33FF">
        <w:rPr>
          <w:rFonts w:ascii="Garamond" w:hAnsi="Garamond" w:cs="Times New Roman"/>
          <w:sz w:val="24"/>
          <w:szCs w:val="24"/>
        </w:rPr>
        <w:t xml:space="preserve"> Maka dari itu pemaknaan dari UUD 1945 harus dipahami secara utuh, tidak terpotong-potong pada setiap pasalnya saja. Jika hanya terfokus pada Pasal 29 Ayat (2) UUD 1945 yang menyatakan bahwa negara menjamin kemerdekaan setiap warga negaranya untuk memeluk dan menjalankan peribadatannya sesuai dengan agama dan kepercayaanya masing-masing, maka hakim pasti akan mengizinkan terjadinya pernikahan beda agama.</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 xml:space="preserve">Selain itu, jika peraturan perkawinan beda agama ditarik pada Pasal 2 Ayat 1 UU perkawinan bahwa perkawinan itu merupakan ikatan lahir batin yang dilakukan sesuai dengan agama dan kepercayaannya masing-masing, maka pemahaman yang muncul adalah pengantin memiliki agama yang sama dan pernikahannya dilakukan sesuai dengan agamanya itu </w:t>
      </w:r>
      <w:r w:rsidRPr="005C33FF">
        <w:rPr>
          <w:rStyle w:val="FootnoteReference"/>
          <w:rFonts w:ascii="Garamond" w:hAnsi="Garamond" w:cs="Times New Roman"/>
          <w:sz w:val="24"/>
          <w:szCs w:val="24"/>
        </w:rPr>
        <w:footnoteReference w:id="35"/>
      </w:r>
      <w:r w:rsidRPr="005C33FF">
        <w:rPr>
          <w:rFonts w:ascii="Garamond" w:hAnsi="Garamond" w:cs="Times New Roman"/>
          <w:sz w:val="24"/>
          <w:szCs w:val="24"/>
        </w:rPr>
        <w:t>. Penulis yakin bahwa pemahaman ini muncul akibat dari kata “ikatan lahir bathin” tersebut. Dalam konsep keagamaan, ketenangan batin itu berhubungan erat dengan pengajaran dalam agama.</w:t>
      </w:r>
      <w:r w:rsidRPr="005C33FF">
        <w:rPr>
          <w:rStyle w:val="FootnoteReference"/>
          <w:rFonts w:ascii="Garamond" w:hAnsi="Garamond" w:cs="Times New Roman"/>
          <w:sz w:val="24"/>
          <w:szCs w:val="24"/>
        </w:rPr>
        <w:footnoteReference w:id="36"/>
      </w:r>
      <w:r w:rsidRPr="005C33FF">
        <w:rPr>
          <w:rFonts w:ascii="Garamond" w:hAnsi="Garamond" w:cs="Times New Roman"/>
          <w:sz w:val="24"/>
          <w:szCs w:val="24"/>
        </w:rPr>
        <w:t xml:space="preserve"> Untuk yang beragama Islam, banyak hal yang dapat diambil pengajarannya dalam menentramkan jiwa (batin), salah satunya adalah berzikir.</w:t>
      </w:r>
      <w:r w:rsidRPr="005C33FF">
        <w:rPr>
          <w:rStyle w:val="FootnoteReference"/>
          <w:rFonts w:ascii="Garamond" w:hAnsi="Garamond" w:cs="Times New Roman"/>
          <w:sz w:val="24"/>
          <w:szCs w:val="24"/>
        </w:rPr>
        <w:footnoteReference w:id="37"/>
      </w:r>
      <w:r w:rsidRPr="005C33FF">
        <w:rPr>
          <w:rFonts w:ascii="Garamond" w:hAnsi="Garamond" w:cs="Times New Roman"/>
          <w:sz w:val="24"/>
          <w:szCs w:val="24"/>
        </w:rPr>
        <w:t xml:space="preserve"> Maka menjadi wajar jika mayoritas masyrakat Indonesia yang Bergama islam ini memahami bahwa yang dimaksud dalam Pasal 2 Ayat 1 itu adalah perniakahn yang dilakukan oleh pasangan yang sama agamanya. Maka </w:t>
      </w:r>
      <w:r w:rsidRPr="005C33FF">
        <w:rPr>
          <w:rFonts w:ascii="Garamond" w:hAnsi="Garamond" w:cs="Times New Roman"/>
          <w:sz w:val="24"/>
          <w:szCs w:val="24"/>
        </w:rPr>
        <w:lastRenderedPageBreak/>
        <w:t xml:space="preserve">hal ini menjadi sesuai dengan isi penjelasan UU perkawinan pada Pasal 2 Ayat 1 yang berbunyi bahwa kehendak dari UU Perkawinan ini adalah tidak ada terjadinya pernikahan diluar dari hukum masing-masing agamanya dan kepercayaannya itu.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Perkawinan beda agama memang bukan kehendaknya dari Peraturan Perundang-undangan Indonesia, karena secara spesifik pernikahan beda agama dalam Undang-Undang (UU) Nomor 1 Tahun 1974 tentang Perkawinan memang tidak ada. Selain itu, UU Perkawinan tersebut telah mencapai umur 48 Tahun dan masih diberlakukan. Jika memang dikehendaki bolehnya pernikahan beda agama, seharusnya tertulis jelas tentang aturan terkait pernikahan dengan model seperti itu atau adanya perubahan UU Perkawinan sebagaimana adanya UU Nomor 16 Tahun 2019</w:t>
      </w:r>
      <w:r w:rsidRPr="005C33FF">
        <w:rPr>
          <w:rFonts w:ascii="Garamond" w:hAnsi="Garamond" w:cs="Times New Roman"/>
          <w:i/>
          <w:sz w:val="24"/>
          <w:szCs w:val="24"/>
        </w:rPr>
        <w:t xml:space="preserve"> </w:t>
      </w:r>
      <w:r w:rsidRPr="005C33FF">
        <w:rPr>
          <w:rStyle w:val="Emphasis"/>
          <w:rFonts w:ascii="Garamond" w:hAnsi="Garamond" w:cs="Times New Roman"/>
          <w:sz w:val="24"/>
          <w:szCs w:val="24"/>
        </w:rPr>
        <w:t>tentang Perubahan</w:t>
      </w:r>
      <w:r w:rsidRPr="005C33FF">
        <w:rPr>
          <w:rStyle w:val="pa9ggf"/>
          <w:rFonts w:ascii="Garamond" w:hAnsi="Garamond" w:cs="Times New Roman"/>
          <w:i/>
          <w:sz w:val="24"/>
          <w:szCs w:val="24"/>
        </w:rPr>
        <w:t xml:space="preserve"> </w:t>
      </w:r>
      <w:r w:rsidRPr="005C33FF">
        <w:rPr>
          <w:rStyle w:val="pa9ggf"/>
          <w:rFonts w:ascii="Garamond" w:hAnsi="Garamond" w:cs="Times New Roman"/>
          <w:sz w:val="24"/>
          <w:szCs w:val="24"/>
        </w:rPr>
        <w:t>atas</w:t>
      </w:r>
      <w:r w:rsidRPr="005C33FF">
        <w:rPr>
          <w:rStyle w:val="pa9ggf"/>
          <w:rFonts w:ascii="Garamond" w:hAnsi="Garamond" w:cs="Times New Roman"/>
          <w:i/>
          <w:sz w:val="24"/>
          <w:szCs w:val="24"/>
        </w:rPr>
        <w:t xml:space="preserve"> </w:t>
      </w:r>
      <w:r w:rsidRPr="005C33FF">
        <w:rPr>
          <w:rStyle w:val="Emphasis"/>
          <w:rFonts w:ascii="Garamond" w:hAnsi="Garamond" w:cs="Times New Roman"/>
          <w:sz w:val="24"/>
          <w:szCs w:val="24"/>
        </w:rPr>
        <w:t>Undang-undang</w:t>
      </w:r>
      <w:r w:rsidRPr="005C33FF">
        <w:rPr>
          <w:rStyle w:val="pa9ggf"/>
          <w:rFonts w:ascii="Garamond" w:hAnsi="Garamond" w:cs="Times New Roman"/>
          <w:i/>
          <w:sz w:val="24"/>
          <w:szCs w:val="24"/>
        </w:rPr>
        <w:t xml:space="preserve"> </w:t>
      </w:r>
      <w:r w:rsidRPr="005C33FF">
        <w:rPr>
          <w:rStyle w:val="pa9ggf"/>
          <w:rFonts w:ascii="Garamond" w:hAnsi="Garamond" w:cs="Times New Roman"/>
          <w:sz w:val="24"/>
          <w:szCs w:val="24"/>
        </w:rPr>
        <w:t>Nomor 1 Tahun 1974 tentang</w:t>
      </w:r>
      <w:r w:rsidRPr="005C33FF">
        <w:rPr>
          <w:rStyle w:val="pa9ggf"/>
          <w:rFonts w:ascii="Garamond" w:hAnsi="Garamond" w:cs="Times New Roman"/>
          <w:i/>
          <w:sz w:val="24"/>
          <w:szCs w:val="24"/>
        </w:rPr>
        <w:t xml:space="preserve"> </w:t>
      </w:r>
      <w:r w:rsidRPr="005C33FF">
        <w:rPr>
          <w:rStyle w:val="Emphasis"/>
          <w:rFonts w:ascii="Garamond" w:hAnsi="Garamond" w:cs="Times New Roman"/>
          <w:sz w:val="24"/>
          <w:szCs w:val="24"/>
        </w:rPr>
        <w:t>Perkawinan</w:t>
      </w:r>
      <w:r w:rsidRPr="005C33FF">
        <w:rPr>
          <w:rFonts w:ascii="Garamond" w:hAnsi="Garamond" w:cs="Times New Roman"/>
          <w:sz w:val="24"/>
          <w:szCs w:val="24"/>
        </w:rPr>
        <w:t>. Maka wajar saja semenjak diberlakukannya UU perkawinan ini menjadi sulit untuk melaksanakan perkawinan beda agama.</w:t>
      </w:r>
      <w:r w:rsidRPr="005C33FF">
        <w:rPr>
          <w:rStyle w:val="FootnoteReference"/>
          <w:rFonts w:ascii="Garamond" w:hAnsi="Garamond" w:cs="Times New Roman"/>
          <w:sz w:val="24"/>
          <w:szCs w:val="24"/>
        </w:rPr>
        <w:footnoteReference w:id="38"/>
      </w:r>
      <w:r w:rsidRPr="005C33FF">
        <w:rPr>
          <w:rFonts w:ascii="Garamond" w:hAnsi="Garamond" w:cs="Times New Roman"/>
          <w:sz w:val="24"/>
          <w:szCs w:val="24"/>
        </w:rPr>
        <w:t xml:space="preserve"> </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Selain itu, putusan Mahkamah Agung Nomor 1400 K/Pdt/1986 menyebutkan bahwa para pasangan yang memiliki perbedaan keyakinan dapat meminta penetapan pengadilan terlebih dahulu sebelum melangsungkan perkawinan. Putusan ini menganggap bahwa perkawinan beda agama bukan kewenangan Pengadilan agama, namun kewenangan Pengadilan Negeri. Putusan ini tidak dapat digunakan lagi karena sudah ada penegasan dalam Putusan Mahkamah Konstitusi Nomor 68/ PUU-XII/2014 yang menyebutkan bahwa perkawinan tidak boleh hanya dilihat dalam aspek formal semata, melainkan juga harus dilihat dari aspek spiritual dan sosial. Maka keabsahan dari perkawinan tetap tergantung kepada ajaran agama, sedangkan Undang-Undang menetapkan keabsahan administratif yang dilakukan oleh nagara.</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 xml:space="preserve">Penegasan dari kewenangan pengadilan agama dapat dilihat dalam </w:t>
      </w:r>
      <w:r w:rsidRPr="005C33FF">
        <w:rPr>
          <w:rFonts w:ascii="Garamond" w:hAnsi="Garamond" w:cs="Times New Roman"/>
          <w:sz w:val="24"/>
          <w:szCs w:val="24"/>
          <w:lang w:val="id-ID" w:eastAsia="id-ID"/>
        </w:rPr>
        <w:t>Pasal 49 Undang-undang Nomor 3 Tahun 2006</w:t>
      </w:r>
      <w:r w:rsidRPr="005C33FF">
        <w:rPr>
          <w:rFonts w:ascii="Garamond" w:hAnsi="Garamond" w:cs="Times New Roman"/>
          <w:sz w:val="24"/>
          <w:szCs w:val="24"/>
          <w:lang w:eastAsia="id-ID"/>
        </w:rPr>
        <w:t xml:space="preserve"> tentang </w:t>
      </w:r>
      <w:r w:rsidRPr="005C33FF">
        <w:rPr>
          <w:rFonts w:ascii="Garamond" w:hAnsi="Garamond" w:cs="Times New Roman"/>
          <w:sz w:val="24"/>
          <w:szCs w:val="24"/>
          <w:lang w:val="id-ID" w:eastAsia="id-ID"/>
        </w:rPr>
        <w:t>Perubahan Atas Undang-Undang Nomor 7 Tahun 1989</w:t>
      </w:r>
      <w:r w:rsidRPr="005C33FF">
        <w:rPr>
          <w:rFonts w:ascii="Garamond" w:hAnsi="Garamond" w:cs="Times New Roman"/>
          <w:sz w:val="24"/>
          <w:szCs w:val="24"/>
          <w:lang w:eastAsia="id-ID"/>
        </w:rPr>
        <w:t xml:space="preserve"> </w:t>
      </w:r>
      <w:r w:rsidRPr="005C33FF">
        <w:rPr>
          <w:rFonts w:ascii="Garamond" w:hAnsi="Garamond" w:cs="Times New Roman"/>
          <w:sz w:val="24"/>
          <w:szCs w:val="24"/>
          <w:lang w:val="id-ID" w:eastAsia="id-ID"/>
        </w:rPr>
        <w:t xml:space="preserve">Tentang </w:t>
      </w:r>
      <w:r w:rsidRPr="005C33FF">
        <w:rPr>
          <w:rFonts w:ascii="Garamond" w:hAnsi="Garamond" w:cs="Times New Roman"/>
          <w:sz w:val="24"/>
          <w:szCs w:val="24"/>
        </w:rPr>
        <w:t xml:space="preserve">Peradilan Agama bahwa Pengadilan Agama bertugas dan berwenang memeriksa, memutus dan menyelesaikan perkara di tingkat pertama antara orang-orang yang beragama Islam di bidang, perkawinan, waris, wasiat, hibah, wakaf, zakat, infaq, shadaqah, ekonomi syari’ah. Dalam penjelasan UU tentang Pengadilan Agama menyebutkan bahwa kewenangan Pengadilan Agama sengaja diperluas agar sesuai dengan perkembangan hukum dan kebutuhan hukum masyarakat yang beragama </w:t>
      </w:r>
      <w:r w:rsidRPr="005C33FF">
        <w:rPr>
          <w:rFonts w:ascii="Garamond" w:hAnsi="Garamond" w:cs="Times New Roman"/>
          <w:sz w:val="24"/>
          <w:szCs w:val="24"/>
        </w:rPr>
        <w:lastRenderedPageBreak/>
        <w:t>Islam. Maka dari itu, perkara pernikahan beda agama yang melibatkan salah satu pasangan adalah seorang muslim, maka perkara tersebut masuk ke kewenangan pengadilan agama.</w:t>
      </w:r>
    </w:p>
    <w:p w:rsidR="005C33FF" w:rsidRPr="005C33FF" w:rsidRDefault="005C33FF" w:rsidP="005C33FF">
      <w:pPr>
        <w:pStyle w:val="ListParagraph"/>
        <w:spacing w:after="0"/>
        <w:ind w:left="270" w:firstLine="616"/>
        <w:jc w:val="both"/>
        <w:rPr>
          <w:rFonts w:ascii="Garamond" w:hAnsi="Garamond" w:cs="Times New Roman"/>
          <w:sz w:val="24"/>
          <w:szCs w:val="24"/>
        </w:rPr>
      </w:pPr>
      <w:r w:rsidRPr="005C33FF">
        <w:rPr>
          <w:rFonts w:ascii="Garamond" w:hAnsi="Garamond" w:cs="Times New Roman"/>
          <w:sz w:val="24"/>
          <w:szCs w:val="24"/>
        </w:rPr>
        <w:t>Menurut penulis, memang sebaiknya perkara pernikahan beda agama yang didalamnya terdapat seorang muslim itu disidang dalam Pengadilan Agama, karena dasar keilmuan dari mayoritas hakim-hakim pengadilan agama adalah hukum islam dan juga hukum positif. karena pada Pasal 13 Ayat 1 menyebutkan bahwa Calon Hakim Pengadilan Agama harus berasal dari Sarjana Syariah atau Sarjana Hukum yang menguasai Hukum Islam.</w:t>
      </w:r>
      <w:r w:rsidRPr="005C33FF">
        <w:rPr>
          <w:rStyle w:val="FootnoteReference"/>
          <w:rFonts w:ascii="Garamond" w:hAnsi="Garamond" w:cs="Times New Roman"/>
          <w:sz w:val="24"/>
          <w:szCs w:val="24"/>
        </w:rPr>
        <w:footnoteReference w:id="39"/>
      </w:r>
      <w:r w:rsidRPr="005C33FF">
        <w:rPr>
          <w:rFonts w:ascii="Garamond" w:hAnsi="Garamond" w:cs="Times New Roman"/>
          <w:sz w:val="24"/>
          <w:szCs w:val="24"/>
        </w:rPr>
        <w:t xml:space="preserve"> Selain itu, dalam pasal 5 Peraturan Mahkamah Agung Nomor 2 Tahun 2017 Tentang Pengadaan Hakim menjelaskan bahwa persyaratan tes masuk calon hakim agama adalah dapat membaca dan memahami kitab kuning. Sehingga perkara perkawinan beda agama itu menjadi lebih tepat jika diberikan kepada Pengadilan Agama yang dapat menggali hukum lebih dalam dengan kajian-kajian yang telah para hakim pelajari.</w:t>
      </w:r>
    </w:p>
    <w:p w:rsidR="005A0886" w:rsidRPr="00740E15" w:rsidRDefault="00BC21C8" w:rsidP="005C33FF">
      <w:pPr>
        <w:pStyle w:val="Normal1"/>
        <w:spacing w:before="120" w:after="0" w:line="276" w:lineRule="auto"/>
        <w:jc w:val="both"/>
        <w:rPr>
          <w:rFonts w:ascii="Garamond" w:hAnsi="Garamond" w:cs="Times New Roman"/>
          <w:bCs/>
          <w:sz w:val="24"/>
          <w:szCs w:val="24"/>
          <w:lang w:val="en-US"/>
        </w:rPr>
      </w:pPr>
      <w:r>
        <w:rPr>
          <w:rFonts w:ascii="Garamond" w:hAnsi="Garamond" w:cs="Times New Roman"/>
          <w:b/>
          <w:bCs/>
          <w:sz w:val="24"/>
          <w:szCs w:val="24"/>
          <w:lang w:val="en-US"/>
        </w:rPr>
        <w:t>Conclusion</w:t>
      </w:r>
    </w:p>
    <w:p w:rsidR="005C33FF" w:rsidRPr="005C33FF" w:rsidRDefault="005C33FF" w:rsidP="005C33FF">
      <w:pPr>
        <w:spacing w:after="0"/>
        <w:ind w:firstLine="720"/>
        <w:jc w:val="both"/>
        <w:rPr>
          <w:rFonts w:ascii="Garamond" w:hAnsi="Garamond" w:cs="Times New Roman"/>
          <w:sz w:val="24"/>
        </w:rPr>
      </w:pPr>
      <w:r w:rsidRPr="005C33FF">
        <w:rPr>
          <w:rFonts w:ascii="Garamond" w:hAnsi="Garamond" w:cs="Times New Roman"/>
          <w:sz w:val="24"/>
        </w:rPr>
        <w:t>Perkawinan beda agama di Indonesia memang memiliki celah hukum, karena tidak ada sama sekali aturan yang tegas terkait kebolehan ataupun pelarangan perkawinan beda agama tersebut. Namun jika kita menggunakan penalaran logika hukum yang tepat, maka kecenderungan dari kehendak hukum kawin beda agama itu adalah dilarang. Kecenderungan itu terlihat jelas pada tujuan konstitusi yang ada di alenia keempat pada Pembukaan UUD 1945, yaitu terletak pada kata Perdamaian abadi dan keadilan sosial. Tujuan kosntitusi ini harus selalu menjadi landasan dalam setiap putusan/penetapan hakim, sehingga putusan ataupun putusan hakim itu dapat memberikan rasa perdamaian abadi dan keadilan sosial bagi mayoritas umat islam di Indonesia. J</w:t>
      </w:r>
      <w:r w:rsidRPr="005C33FF">
        <w:rPr>
          <w:rFonts w:ascii="Garamond" w:hAnsi="Garamond" w:cs="Times New Roman"/>
          <w:sz w:val="24"/>
          <w:lang w:eastAsia="id-ID"/>
        </w:rPr>
        <w:t>jika dilihat masa keberlakuan UU Perkawinan yang sudah mencapai 48 tahun dan telah ada UU perubahannya, namun tidak ada penambahan materi terkait dibolehkannya pernikahan beda agama, khususnya pada pria non muslim dengan wanita muslimah.</w:t>
      </w:r>
      <w:r w:rsidRPr="005C33FF">
        <w:rPr>
          <w:rFonts w:ascii="Garamond" w:hAnsi="Garamond" w:cs="Times New Roman"/>
          <w:sz w:val="24"/>
        </w:rPr>
        <w:t xml:space="preserve"> Maka </w:t>
      </w:r>
      <w:r w:rsidRPr="005C33FF">
        <w:rPr>
          <w:rFonts w:ascii="Garamond" w:hAnsi="Garamond" w:cs="Times New Roman"/>
          <w:sz w:val="24"/>
          <w:lang w:eastAsia="id-ID"/>
        </w:rPr>
        <w:t>penetapan hakim yang tepat adalah tidak memberikan putusan yang membolehkan terjadinya pernikahan beda agama. Itulah kehendak dari peraturan perundang-undangan perkawinan beda agama di Indonesia.</w:t>
      </w:r>
    </w:p>
    <w:p w:rsidR="005C33FF" w:rsidRPr="005C33FF" w:rsidRDefault="005C33FF" w:rsidP="005C33FF">
      <w:pPr>
        <w:spacing w:after="0"/>
        <w:ind w:firstLine="720"/>
        <w:jc w:val="both"/>
        <w:rPr>
          <w:rFonts w:ascii="Garamond" w:hAnsi="Garamond" w:cs="Times New Roman"/>
          <w:sz w:val="24"/>
          <w:lang w:eastAsia="id-ID"/>
        </w:rPr>
      </w:pPr>
      <w:r w:rsidRPr="005C33FF">
        <w:rPr>
          <w:rFonts w:ascii="Garamond" w:hAnsi="Garamond" w:cs="Times New Roman"/>
          <w:sz w:val="24"/>
        </w:rPr>
        <w:t xml:space="preserve">Putusan hakim tersebut akan menjadi yurisprudensi bagi hakim lainnya dalam memberikan putusan perkara yang memiliki kemiripan kasus. Sehingga memiliki kaitan yang erat secara umum bagi seluruh rakyat Indonesia, khususnya </w:t>
      </w:r>
      <w:r w:rsidRPr="005C33FF">
        <w:rPr>
          <w:rFonts w:ascii="Garamond" w:hAnsi="Garamond" w:cs="Times New Roman"/>
          <w:sz w:val="24"/>
        </w:rPr>
        <w:lastRenderedPageBreak/>
        <w:t xml:space="preserve">yang beragama Islam. Hal ini semakin tepat jika seorang hakim dapat menggali hukum yang tidak tertulis sebagai dasar hukum putusan perkara sebagaimana dalam Pasal 5 Ayat 1 UU Nomor 48 Tahun 2009 tentang Kekuasaan Kehakiman yang berbunyi bahwa </w:t>
      </w:r>
      <w:r w:rsidRPr="005C33FF">
        <w:rPr>
          <w:rFonts w:ascii="Garamond" w:hAnsi="Garamond" w:cs="Times New Roman"/>
          <w:sz w:val="24"/>
          <w:lang w:val="id-ID" w:eastAsia="id-ID"/>
        </w:rPr>
        <w:t xml:space="preserve">Hakim </w:t>
      </w:r>
      <w:r w:rsidRPr="005C33FF">
        <w:rPr>
          <w:rFonts w:ascii="Garamond" w:hAnsi="Garamond" w:cs="Times New Roman"/>
          <w:sz w:val="24"/>
          <w:lang w:eastAsia="id-ID"/>
        </w:rPr>
        <w:t>wajib</w:t>
      </w:r>
      <w:r w:rsidRPr="005C33FF">
        <w:rPr>
          <w:rFonts w:ascii="Garamond" w:hAnsi="Garamond" w:cs="Times New Roman"/>
          <w:sz w:val="24"/>
          <w:lang w:val="id-ID" w:eastAsia="id-ID"/>
        </w:rPr>
        <w:t xml:space="preserve"> menggali, mengikuti, dan memahami nilai-nilai hukum dan rasa keadilan yang hidup dalam masyarakat</w:t>
      </w:r>
      <w:r w:rsidRPr="005C33FF">
        <w:rPr>
          <w:rFonts w:ascii="Garamond" w:hAnsi="Garamond" w:cs="Times New Roman"/>
          <w:sz w:val="24"/>
          <w:lang w:eastAsia="id-ID"/>
        </w:rPr>
        <w:t xml:space="preserve">. Selain itu, hakim yang tepat dalam menyelesaikan perkara perkawinan beda agama adalah Hakim Pengadilan Agama. Karena Seorang Hakim Pengadilan Agama jelas memiliki latar belakang pendidikan agama dan memahami kajian fikih klasik maupun kontemporer. Hal tersebut sesuai dengan </w:t>
      </w:r>
      <w:r w:rsidRPr="005C33FF">
        <w:rPr>
          <w:rFonts w:ascii="Garamond" w:hAnsi="Garamond" w:cs="Times New Roman"/>
          <w:noProof/>
          <w:sz w:val="24"/>
        </w:rPr>
        <w:t>Undang-Undang Nomor 3 Tahun 2006 Tentang Perubahan Atas Undang-Undang Nomor 7 Tahun 1989 Tentang Peradilan Agama dan</w:t>
      </w:r>
      <w:r w:rsidRPr="005C33FF">
        <w:rPr>
          <w:rFonts w:ascii="Garamond" w:hAnsi="Garamond" w:cs="Times New Roman"/>
          <w:sz w:val="24"/>
        </w:rPr>
        <w:t xml:space="preserve"> Peraturan Mahkamah Agung Nomor 2 Tahun 2017 Tentang Pengadaan Hakim.</w:t>
      </w:r>
    </w:p>
    <w:p w:rsidR="005A0886" w:rsidRDefault="00CC7A5A" w:rsidP="00283366">
      <w:pPr>
        <w:spacing w:before="240" w:after="0" w:line="240" w:lineRule="auto"/>
        <w:jc w:val="both"/>
        <w:outlineLvl w:val="0"/>
        <w:rPr>
          <w:rFonts w:ascii="Garamond" w:hAnsi="Garamond"/>
          <w:b/>
          <w:sz w:val="24"/>
          <w:szCs w:val="24"/>
        </w:rPr>
      </w:pPr>
      <w:r w:rsidRPr="00CC7A5A">
        <w:rPr>
          <w:rFonts w:ascii="Garamond" w:hAnsi="Garamond"/>
          <w:b/>
          <w:sz w:val="24"/>
          <w:szCs w:val="24"/>
        </w:rPr>
        <w:t>References</w:t>
      </w:r>
    </w:p>
    <w:p w:rsidR="00B8324B" w:rsidRPr="00B8324B" w:rsidRDefault="008D1526"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00B8324B" w:rsidRPr="00B8324B">
        <w:rPr>
          <w:rFonts w:ascii="Garamond" w:hAnsi="Garamond" w:cs="Times New Roman"/>
          <w:noProof/>
          <w:sz w:val="24"/>
          <w:szCs w:val="24"/>
        </w:rPr>
        <w:t xml:space="preserve">Amalia, Tyas. “Model Manajemen Konflik Pernikahan Beda Agama Dalam Pemikiran Ahmad Nurcholish.” </w:t>
      </w:r>
      <w:r w:rsidR="00B8324B" w:rsidRPr="00B8324B">
        <w:rPr>
          <w:rFonts w:ascii="Garamond" w:hAnsi="Garamond" w:cs="Times New Roman"/>
          <w:i/>
          <w:iCs/>
          <w:noProof/>
          <w:sz w:val="24"/>
          <w:szCs w:val="24"/>
        </w:rPr>
        <w:t>Jurnal Sosiologi Agama</w:t>
      </w:r>
      <w:r w:rsidR="00B8324B" w:rsidRPr="00B8324B">
        <w:rPr>
          <w:rFonts w:ascii="Garamond" w:hAnsi="Garamond" w:cs="Times New Roman"/>
          <w:noProof/>
          <w:sz w:val="24"/>
          <w:szCs w:val="24"/>
        </w:rPr>
        <w:t xml:space="preserve"> 12, no. 1 (2018): 1. https://doi.org/10.14421/jsa.2018.121-01.</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Ardianto, Medi Romi, and Ahmad Zamroni. “Implikasi Ketenangan Jiwa Dan Ketentraman Hati Sebagai Faktor Yang Mempengaruhi Keberhasilan Pendidikan Bagi Remaja.” </w:t>
      </w:r>
      <w:r w:rsidRPr="00B8324B">
        <w:rPr>
          <w:rFonts w:ascii="Garamond" w:hAnsi="Garamond" w:cs="Times New Roman"/>
          <w:i/>
          <w:iCs/>
          <w:noProof/>
          <w:sz w:val="24"/>
          <w:szCs w:val="24"/>
        </w:rPr>
        <w:t>IEMJ</w:t>
      </w:r>
      <w:r w:rsidRPr="00B8324B">
        <w:rPr>
          <w:rFonts w:ascii="Times New Roman" w:hAnsi="Times New Roman" w:cs="Times New Roman"/>
          <w:i/>
          <w:iCs/>
          <w:noProof/>
          <w:sz w:val="24"/>
          <w:szCs w:val="24"/>
        </w:rPr>
        <w:t> </w:t>
      </w:r>
      <w:r w:rsidRPr="00B8324B">
        <w:rPr>
          <w:rFonts w:ascii="Garamond" w:hAnsi="Garamond" w:cs="Times New Roman"/>
          <w:i/>
          <w:iCs/>
          <w:noProof/>
          <w:sz w:val="24"/>
          <w:szCs w:val="24"/>
        </w:rPr>
        <w:t>: Islamic Education Management Journal</w:t>
      </w:r>
      <w:r w:rsidRPr="00B8324B">
        <w:rPr>
          <w:rFonts w:ascii="Garamond" w:hAnsi="Garamond" w:cs="Times New Roman"/>
          <w:noProof/>
          <w:sz w:val="24"/>
          <w:szCs w:val="24"/>
        </w:rPr>
        <w:t xml:space="preserve"> 1, no. 1 (February 22, 2022): 20–35. https://journal.staialmaarifwaykanan.ac.id/index.php/iemj/article/view/85.</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Bawazier, Dio Alif. “Pernikahan Beda Agama (Studi Komparatif Tentang Hukum Pernikahan Beda Agama Perspektif Abdullah Ahmad An-Na’im Dan Ahmad Zahro).” </w:t>
      </w:r>
      <w:r w:rsidRPr="00B8324B">
        <w:rPr>
          <w:rFonts w:ascii="Garamond" w:hAnsi="Garamond" w:cs="Times New Roman"/>
          <w:i/>
          <w:iCs/>
          <w:noProof/>
          <w:sz w:val="24"/>
          <w:szCs w:val="24"/>
        </w:rPr>
        <w:t>Sakina: Journal of Family Studies</w:t>
      </w:r>
      <w:r w:rsidRPr="00B8324B">
        <w:rPr>
          <w:rFonts w:ascii="Garamond" w:hAnsi="Garamond" w:cs="Times New Roman"/>
          <w:noProof/>
          <w:sz w:val="24"/>
          <w:szCs w:val="24"/>
        </w:rPr>
        <w:t xml:space="preserve"> 4, no. 3 (2020).</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Burhanuddin. “Zikir Dan Ketenangan Jiwa (Solusi Islam Mengatasi Kegelisahan Dan Kegalauan Jiwa).” </w:t>
      </w:r>
      <w:r w:rsidRPr="00B8324B">
        <w:rPr>
          <w:rFonts w:ascii="Garamond" w:hAnsi="Garamond" w:cs="Times New Roman"/>
          <w:i/>
          <w:iCs/>
          <w:noProof/>
          <w:sz w:val="24"/>
          <w:szCs w:val="24"/>
        </w:rPr>
        <w:t>Jurnal Mimbar: Media Intelektual Muslim Dan Bimbingan Rohani</w:t>
      </w:r>
      <w:r w:rsidRPr="00B8324B">
        <w:rPr>
          <w:rFonts w:ascii="Garamond" w:hAnsi="Garamond" w:cs="Times New Roman"/>
          <w:noProof/>
          <w:sz w:val="24"/>
          <w:szCs w:val="24"/>
        </w:rPr>
        <w:t xml:space="preserve"> 6, no. 1 (April 30, 2020): 1–25. https://doi.org/10.47435/MIMBAR.V6I1.371.</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Direktori Putusan Mahkmah Agung (2022). https://putusan3.mahkamahagung.go.id/direktori/putusan/zaecc51c755dad32a412313135303536.html.</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Fatoni, Siti Nur, and Iu Rusliana. “PERNIKAHAN BEDA AGAMA MENURUT TOKOH LINTAS AGAMA DI KOTA BANDUNG” 1 (2019): 95–114.</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lastRenderedPageBreak/>
        <w:t>Gunawan, Leo Agung Srie. “PROBLEMATIKA JATUH CINTA</w:t>
      </w:r>
      <w:r w:rsidRPr="00B8324B">
        <w:rPr>
          <w:rFonts w:ascii="Times New Roman" w:hAnsi="Times New Roman" w:cs="Times New Roman"/>
          <w:noProof/>
          <w:sz w:val="24"/>
          <w:szCs w:val="24"/>
        </w:rPr>
        <w:t> </w:t>
      </w:r>
      <w:r w:rsidRPr="00B8324B">
        <w:rPr>
          <w:rFonts w:ascii="Garamond" w:hAnsi="Garamond" w:cs="Times New Roman"/>
          <w:noProof/>
          <w:sz w:val="24"/>
          <w:szCs w:val="24"/>
        </w:rPr>
        <w:t xml:space="preserve">: Sebuah Tinjuan Filosofis.” </w:t>
      </w:r>
      <w:r w:rsidRPr="00B8324B">
        <w:rPr>
          <w:rFonts w:ascii="Garamond" w:hAnsi="Garamond" w:cs="Times New Roman"/>
          <w:i/>
          <w:iCs/>
          <w:noProof/>
          <w:sz w:val="24"/>
          <w:szCs w:val="24"/>
        </w:rPr>
        <w:t>LOGOS</w:t>
      </w:r>
      <w:r w:rsidRPr="00B8324B">
        <w:rPr>
          <w:rFonts w:ascii="Garamond" w:hAnsi="Garamond" w:cs="Times New Roman"/>
          <w:noProof/>
          <w:sz w:val="24"/>
          <w:szCs w:val="24"/>
        </w:rPr>
        <w:t xml:space="preserve"> 15, no. 2 (April 11, 2018): 1–30. https://doi.org/10.54367/LOGOS.V15I2.319.</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Harahap, Nursapia. “Penelitian Kualitatif,” 2020.</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Irfani, Nurfaqih. “Asas Lex Superior, Lex Specialis, Dan Lex Posterior: Pemaknaan, Problematika, Dan Penggunaannya Dalam Penalaran Dan Argumentasi Hukum.” </w:t>
      </w:r>
      <w:r w:rsidRPr="00B8324B">
        <w:rPr>
          <w:rFonts w:ascii="Garamond" w:hAnsi="Garamond" w:cs="Times New Roman"/>
          <w:i/>
          <w:iCs/>
          <w:noProof/>
          <w:sz w:val="24"/>
          <w:szCs w:val="24"/>
        </w:rPr>
        <w:t>Jurnal Legislasi Indonesia</w:t>
      </w:r>
      <w:r w:rsidRPr="00B8324B">
        <w:rPr>
          <w:rFonts w:ascii="Garamond" w:hAnsi="Garamond" w:cs="Times New Roman"/>
          <w:noProof/>
          <w:sz w:val="24"/>
          <w:szCs w:val="24"/>
        </w:rPr>
        <w:t xml:space="preserve"> 16, no. 3 (2020): 305–25.</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Isnantiana, Nur Iftitah. “Legal Reasoning Hakim Dalam Pengambilan Putusan Perkara Di Pengadilan.” </w:t>
      </w:r>
      <w:r w:rsidRPr="00B8324B">
        <w:rPr>
          <w:rFonts w:ascii="Garamond" w:hAnsi="Garamond" w:cs="Times New Roman"/>
          <w:i/>
          <w:iCs/>
          <w:noProof/>
          <w:sz w:val="24"/>
          <w:szCs w:val="24"/>
        </w:rPr>
        <w:t>Islamadina: Jurnal Pemikiran Islam</w:t>
      </w:r>
      <w:r w:rsidRPr="00B8324B">
        <w:rPr>
          <w:rFonts w:ascii="Garamond" w:hAnsi="Garamond" w:cs="Times New Roman"/>
          <w:noProof/>
          <w:sz w:val="24"/>
          <w:szCs w:val="24"/>
        </w:rPr>
        <w:t xml:space="preserve"> 18, no. 2 (2017): 41–56.</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Jurdi, Fajlurrahman. </w:t>
      </w:r>
      <w:r w:rsidRPr="00B8324B">
        <w:rPr>
          <w:rFonts w:ascii="Garamond" w:hAnsi="Garamond" w:cs="Times New Roman"/>
          <w:i/>
          <w:iCs/>
          <w:noProof/>
          <w:sz w:val="24"/>
          <w:szCs w:val="24"/>
        </w:rPr>
        <w:t>Logika Hukum</w:t>
      </w:r>
      <w:r w:rsidRPr="00B8324B">
        <w:rPr>
          <w:rFonts w:ascii="Garamond" w:hAnsi="Garamond" w:cs="Times New Roman"/>
          <w:noProof/>
          <w:sz w:val="24"/>
          <w:szCs w:val="24"/>
        </w:rPr>
        <w:t>. 2nd ed. Jakarta: Kencana, 2019.</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Konstitusi, Mahkamah. Putusan Mahkamah Konstitusi Nomor 68/P</w:t>
      </w:r>
      <w:r w:rsidR="00350D9B">
        <w:rPr>
          <w:rFonts w:ascii="Garamond" w:hAnsi="Garamond" w:cs="Times New Roman"/>
          <w:noProof/>
          <w:sz w:val="24"/>
          <w:szCs w:val="24"/>
        </w:rPr>
        <w:t>UU-XII/2014, Mahkmah Konstitusi</w:t>
      </w:r>
      <w:r w:rsidRPr="00B8324B">
        <w:rPr>
          <w:rFonts w:ascii="Garamond" w:hAnsi="Garamond" w:cs="Times New Roman"/>
          <w:noProof/>
          <w:sz w:val="24"/>
          <w:szCs w:val="24"/>
        </w:rPr>
        <w:t xml:space="preserve"> (2015).</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Mahkamah Agung. “Putusan MA No. 1400 K/Pdt/1986.” Daniel S. Lev Library, 1986. http://putusan.danlevlibrary.net/?q=node/370.</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Muzan, Amrul, Syamsuddin Muir, Hasan Basri, Kemas Muhammad Gemilang, and Darulhuda Darulhuda. “MITIGASI KONFLIK RUMAH TANGGA DALAM UPAYA MENJAGA KEUTUHAN KELUARGA SAKINAH.” </w:t>
      </w:r>
      <w:r w:rsidRPr="00B8324B">
        <w:rPr>
          <w:rFonts w:ascii="Garamond" w:hAnsi="Garamond" w:cs="Times New Roman"/>
          <w:i/>
          <w:iCs/>
          <w:noProof/>
          <w:sz w:val="24"/>
          <w:szCs w:val="24"/>
        </w:rPr>
        <w:t>Hukum Islam</w:t>
      </w:r>
      <w:r w:rsidRPr="00B8324B">
        <w:rPr>
          <w:rFonts w:ascii="Garamond" w:hAnsi="Garamond" w:cs="Times New Roman"/>
          <w:noProof/>
          <w:sz w:val="24"/>
          <w:szCs w:val="24"/>
        </w:rPr>
        <w:t xml:space="preserve"> 22, no. 2 (2022): 52–72.</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Nurcahaya, Mawardi Dalimunthe, and Srimurhayati. “Perkawinan Beda Agama Dalam Perspektif Hukum Islam.” </w:t>
      </w:r>
      <w:r w:rsidRPr="00B8324B">
        <w:rPr>
          <w:rFonts w:ascii="Garamond" w:hAnsi="Garamond" w:cs="Times New Roman"/>
          <w:i/>
          <w:iCs/>
          <w:noProof/>
          <w:sz w:val="24"/>
          <w:szCs w:val="24"/>
        </w:rPr>
        <w:t>Hukum Islam</w:t>
      </w:r>
      <w:r w:rsidRPr="00B8324B">
        <w:rPr>
          <w:rFonts w:ascii="Garamond" w:hAnsi="Garamond" w:cs="Times New Roman"/>
          <w:noProof/>
          <w:sz w:val="24"/>
          <w:szCs w:val="24"/>
        </w:rPr>
        <w:t xml:space="preserve"> 18, no. 2 (August 1, 2019): 141–56. https://ejournal.uin-suska.ac.id/index.php/hukumislam/article/view/4973.</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Nurmaya, Edyna Ratna. “Pernikahan Beda Agama Stafsus Jokowi: Ayu Dan Gerald Umumkan Lewat Instagram, Mohon Doa Dan Dukungan - Suara Merdeka.” Suara Merdeka, 2022. https://www.suaramerdeka.com/nasional/pr-042994588/pernikahan-beda-agama-stafsus-jokowi-ayu-dan-gerald-umumkan-lewat-instagram-mohon-doa-dan-dukungan.</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Pengadilan Negeri Pati. Direktori Putusan Mahkamah Agung (2020). https://putusan3.mahkamahagung.go.id/direktori/putusan/93973df576e75724bfdabc28d2f58619.html.</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Qamar, Nurul. </w:t>
      </w:r>
      <w:r w:rsidRPr="00B8324B">
        <w:rPr>
          <w:rFonts w:ascii="Garamond" w:hAnsi="Garamond" w:cs="Times New Roman"/>
          <w:i/>
          <w:iCs/>
          <w:noProof/>
          <w:sz w:val="24"/>
          <w:szCs w:val="24"/>
        </w:rPr>
        <w:t>Logika Dan Penalaran Dalam Ilmu Hukum</w:t>
      </w:r>
      <w:r w:rsidRPr="00B8324B">
        <w:rPr>
          <w:rFonts w:ascii="Garamond" w:hAnsi="Garamond" w:cs="Times New Roman"/>
          <w:noProof/>
          <w:sz w:val="24"/>
          <w:szCs w:val="24"/>
        </w:rPr>
        <w:t>. CV. Social Politic Genius (SIGn), 2018.</w:t>
      </w:r>
    </w:p>
    <w:p w:rsidR="00B8324B" w:rsidRPr="00B8324B" w:rsidRDefault="00B8324B" w:rsidP="00B8324B">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B8324B">
        <w:rPr>
          <w:rFonts w:ascii="Garamond" w:hAnsi="Garamond" w:cs="Times New Roman"/>
          <w:noProof/>
          <w:sz w:val="24"/>
          <w:szCs w:val="24"/>
        </w:rPr>
        <w:lastRenderedPageBreak/>
        <w:t xml:space="preserve">Rani Tiara S., Mega. “Diskursus Tentang Nikah Beda Agama (Kajian Al Maqasid As Syari’ah).” </w:t>
      </w:r>
      <w:r w:rsidRPr="00B8324B">
        <w:rPr>
          <w:rFonts w:ascii="Garamond" w:hAnsi="Garamond" w:cs="Times New Roman"/>
          <w:i/>
          <w:iCs/>
          <w:noProof/>
          <w:sz w:val="24"/>
          <w:szCs w:val="24"/>
        </w:rPr>
        <w:t>Al-Adl</w:t>
      </w:r>
      <w:r w:rsidRPr="00B8324B">
        <w:rPr>
          <w:rFonts w:ascii="Times New Roman" w:hAnsi="Times New Roman" w:cs="Times New Roman"/>
          <w:i/>
          <w:iCs/>
          <w:noProof/>
          <w:sz w:val="24"/>
          <w:szCs w:val="24"/>
        </w:rPr>
        <w:t> </w:t>
      </w:r>
      <w:r w:rsidRPr="00B8324B">
        <w:rPr>
          <w:rFonts w:ascii="Garamond" w:hAnsi="Garamond" w:cs="Times New Roman"/>
          <w:i/>
          <w:iCs/>
          <w:noProof/>
          <w:sz w:val="24"/>
          <w:szCs w:val="24"/>
        </w:rPr>
        <w:t>: Jurnal Hukum</w:t>
      </w:r>
      <w:r w:rsidRPr="00B8324B">
        <w:rPr>
          <w:rFonts w:ascii="Garamond" w:hAnsi="Garamond" w:cs="Times New Roman"/>
          <w:noProof/>
          <w:sz w:val="24"/>
          <w:szCs w:val="24"/>
        </w:rPr>
        <w:t xml:space="preserve"> 8, no. 1 (2016). https://doi.org/10.31602/al-adl.v8i1.351.</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Reva Deddy Utama. “Catatan Demokrasi: Nikah Beda Agama Di Indonesia, Kok Bisa?,” 2022. https://www.youtube.com/watch?v=yRoC2UwiXME.</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Rohmah, Anny Nailatur, and Ashif Az Zafi. “Jejak Eksistensi Mazhab Syafi`i Di Indonesia.” </w:t>
      </w:r>
      <w:r w:rsidRPr="00B8324B">
        <w:rPr>
          <w:rFonts w:ascii="Garamond" w:hAnsi="Garamond" w:cs="Times New Roman"/>
          <w:i/>
          <w:iCs/>
          <w:noProof/>
          <w:sz w:val="24"/>
          <w:szCs w:val="24"/>
        </w:rPr>
        <w:t>Tamaddun: Jurnal Sejarah Dan Kebudayaan</w:t>
      </w:r>
      <w:r w:rsidRPr="00B8324B">
        <w:rPr>
          <w:rFonts w:ascii="Garamond" w:hAnsi="Garamond" w:cs="Times New Roman"/>
          <w:noProof/>
          <w:sz w:val="24"/>
          <w:szCs w:val="24"/>
        </w:rPr>
        <w:t xml:space="preserve"> 8, no. 1 (May 2020). https://www.researchgate.net/profile/Ashif-Zafi/publication/342830996_Jejak_Eksistensi_Mazhab_Syafii_di_Indonesia/links/5f163f3fa6fdcc3ed719d88e/Jejak-Eksistensi-Mazhab-Syafi-i-di-Indonesia.pdf.</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Saputra, Andi. “PN Surabaya Izinkan Pernikahan Beda Agama Pasangan Islam-Kristen Ini.” Detik News, 2022. https://www.suaramerdeka.com/nasional/pr-042994588/pernikahan-beda-agama-stafsus-jokowi-ayu-dan-gerald-umumkan-lewat-instagram-mohon-doa-dan-dukungan.</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Setiawan, Agus. “PENALARAN HUKUM YANG MAMPU MEWUJUDKAN TUJUAN HUKUM SECARA PROPORSIONAL.” </w:t>
      </w:r>
      <w:r w:rsidRPr="00B8324B">
        <w:rPr>
          <w:rFonts w:ascii="Garamond" w:hAnsi="Garamond" w:cs="Times New Roman"/>
          <w:i/>
          <w:iCs/>
          <w:noProof/>
          <w:sz w:val="24"/>
          <w:szCs w:val="24"/>
        </w:rPr>
        <w:t>Jurnal Hukum Mimbar Justitia</w:t>
      </w:r>
      <w:r w:rsidRPr="00B8324B">
        <w:rPr>
          <w:rFonts w:ascii="Garamond" w:hAnsi="Garamond" w:cs="Times New Roman"/>
          <w:noProof/>
          <w:sz w:val="24"/>
          <w:szCs w:val="24"/>
        </w:rPr>
        <w:t xml:space="preserve"> 3, no. 2 (December 30, 2017): 204–15. https://doi.org/10.35194/JHMJ.V3I2.257.</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Sri Wahyuni. “Kontroversi Perkawinan Beda Agama Di Indonesia.” </w:t>
      </w:r>
      <w:r w:rsidRPr="00B8324B">
        <w:rPr>
          <w:rFonts w:ascii="Garamond" w:hAnsi="Garamond" w:cs="Times New Roman"/>
          <w:i/>
          <w:iCs/>
          <w:noProof/>
          <w:sz w:val="24"/>
          <w:szCs w:val="24"/>
        </w:rPr>
        <w:t>Al-Risalah</w:t>
      </w:r>
      <w:r w:rsidRPr="00B8324B">
        <w:rPr>
          <w:rFonts w:ascii="Garamond" w:hAnsi="Garamond" w:cs="Times New Roman"/>
          <w:noProof/>
          <w:sz w:val="24"/>
          <w:szCs w:val="24"/>
        </w:rPr>
        <w:t xml:space="preserve"> 14, no. 02 (2014): 293–306. https://doi.org/10.30631/al-risalah.v14i02.452.</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Susanto, Mei. “Kedudukan Dan Fungsi Pembukaan Undang-Undang Dasar 1945: Pembelajaran Dari Tren Global.” </w:t>
      </w:r>
      <w:r w:rsidRPr="00B8324B">
        <w:rPr>
          <w:rFonts w:ascii="Garamond" w:hAnsi="Garamond" w:cs="Times New Roman"/>
          <w:i/>
          <w:iCs/>
          <w:noProof/>
          <w:sz w:val="24"/>
          <w:szCs w:val="24"/>
        </w:rPr>
        <w:t>Jurnal Legislasi Indonesia</w:t>
      </w:r>
      <w:r w:rsidRPr="00B8324B">
        <w:rPr>
          <w:rFonts w:ascii="Garamond" w:hAnsi="Garamond" w:cs="Times New Roman"/>
          <w:noProof/>
          <w:sz w:val="24"/>
          <w:szCs w:val="24"/>
        </w:rPr>
        <w:t xml:space="preserve"> 18, no. 2 (2021): 184–203.</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Syaripudin, Ahmad, and M Kasim. “Konsep Dasar Ijmak Sebagai Sumber Hukum Islam.” </w:t>
      </w:r>
      <w:r w:rsidRPr="00B8324B">
        <w:rPr>
          <w:rFonts w:ascii="Garamond" w:hAnsi="Garamond" w:cs="Times New Roman"/>
          <w:i/>
          <w:iCs/>
          <w:noProof/>
          <w:sz w:val="24"/>
          <w:szCs w:val="24"/>
        </w:rPr>
        <w:t xml:space="preserve">BUSTANUL FUQAHA: Jurnal Bidang Hukum Islam </w:t>
      </w:r>
      <w:r w:rsidRPr="00B8324B">
        <w:rPr>
          <w:rFonts w:ascii="Garamond" w:hAnsi="Garamond" w:cs="Times New Roman"/>
          <w:noProof/>
          <w:sz w:val="24"/>
          <w:szCs w:val="24"/>
        </w:rPr>
        <w:t xml:space="preserve"> 1, no. 1 (April 24, 2020): 28–43. https://doi.org/10.36701/BUSTANUL.V1I1.125.</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Undang-Undang Nomor 1 Tahun 1974 Tentang Perkawinan (n.d.).</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Undang-Undang Nomor 12 Tahun 2011 tentang Pembentukan Peraturan Perundang-Undangan (2011).</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Undang-undang Nomor 3 Tahun 2006 tentang Perubahan Atas Undang-Undang Nomor 7 Tahun 1989 Tentang Peradilan Agama (2006).</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lastRenderedPageBreak/>
        <w:t xml:space="preserve">Vera, Ni Luh Putu, and Nurul Ainuddin. “Logika Hukum Dan Terobosan Hukum Melalui Legal Reasoning.” </w:t>
      </w:r>
      <w:r w:rsidRPr="00B8324B">
        <w:rPr>
          <w:rFonts w:ascii="Garamond" w:hAnsi="Garamond" w:cs="Times New Roman"/>
          <w:i/>
          <w:iCs/>
          <w:noProof/>
          <w:sz w:val="24"/>
          <w:szCs w:val="24"/>
        </w:rPr>
        <w:t>Jatiswara</w:t>
      </w:r>
      <w:r w:rsidRPr="00B8324B">
        <w:rPr>
          <w:rFonts w:ascii="Garamond" w:hAnsi="Garamond" w:cs="Times New Roman"/>
          <w:noProof/>
          <w:sz w:val="24"/>
          <w:szCs w:val="24"/>
        </w:rPr>
        <w:t xml:space="preserve"> 31, no. 1 (2016): 99–110. http://www.jatiswara.unram.ac.id/index.php/js/article/view/36.</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cs="Times New Roman"/>
          <w:noProof/>
          <w:sz w:val="24"/>
          <w:szCs w:val="24"/>
        </w:rPr>
      </w:pPr>
      <w:r w:rsidRPr="00B8324B">
        <w:rPr>
          <w:rFonts w:ascii="Garamond" w:hAnsi="Garamond" w:cs="Times New Roman"/>
          <w:noProof/>
          <w:sz w:val="24"/>
          <w:szCs w:val="24"/>
        </w:rPr>
        <w:t xml:space="preserve">Weruin, Urbanus Ura. “Logika, Penalaran, Dan Argumentasi Hukum.” </w:t>
      </w:r>
      <w:r w:rsidRPr="00B8324B">
        <w:rPr>
          <w:rFonts w:ascii="Garamond" w:hAnsi="Garamond" w:cs="Times New Roman"/>
          <w:i/>
          <w:iCs/>
          <w:noProof/>
          <w:sz w:val="24"/>
          <w:szCs w:val="24"/>
        </w:rPr>
        <w:t>Jurnal Konstitusi</w:t>
      </w:r>
      <w:r w:rsidRPr="00B8324B">
        <w:rPr>
          <w:rFonts w:ascii="Garamond" w:hAnsi="Garamond" w:cs="Times New Roman"/>
          <w:noProof/>
          <w:sz w:val="24"/>
          <w:szCs w:val="24"/>
        </w:rPr>
        <w:t xml:space="preserve"> 14, no. 2 (November 2, 2017): 374–95. https://doi.org/10.31078/JK1427.</w:t>
      </w:r>
    </w:p>
    <w:p w:rsidR="00B8324B" w:rsidRPr="00B8324B" w:rsidRDefault="00B8324B" w:rsidP="00B8324B">
      <w:pPr>
        <w:widowControl w:val="0"/>
        <w:autoSpaceDE w:val="0"/>
        <w:autoSpaceDN w:val="0"/>
        <w:adjustRightInd w:val="0"/>
        <w:spacing w:before="240" w:after="0" w:line="240" w:lineRule="auto"/>
        <w:ind w:left="480" w:hanging="480"/>
        <w:rPr>
          <w:rFonts w:ascii="Garamond" w:hAnsi="Garamond"/>
          <w:noProof/>
          <w:sz w:val="24"/>
        </w:rPr>
      </w:pPr>
      <w:r w:rsidRPr="00B8324B">
        <w:rPr>
          <w:rFonts w:ascii="Garamond" w:hAnsi="Garamond" w:cs="Times New Roman"/>
          <w:noProof/>
          <w:sz w:val="24"/>
          <w:szCs w:val="24"/>
        </w:rPr>
        <w:t xml:space="preserve">Yunus, Ahyuni. </w:t>
      </w:r>
      <w:r w:rsidRPr="00B8324B">
        <w:rPr>
          <w:rFonts w:ascii="Garamond" w:hAnsi="Garamond" w:cs="Times New Roman"/>
          <w:i/>
          <w:iCs/>
          <w:noProof/>
          <w:sz w:val="24"/>
          <w:szCs w:val="24"/>
        </w:rPr>
        <w:t>Hukum Perkawinan Dan Itsbat Nikah: Antara Perlindungan Dan Kepastian Hukum</w:t>
      </w:r>
      <w:r w:rsidRPr="00B8324B">
        <w:rPr>
          <w:rFonts w:ascii="Garamond" w:hAnsi="Garamond" w:cs="Times New Roman"/>
          <w:noProof/>
          <w:sz w:val="24"/>
          <w:szCs w:val="24"/>
        </w:rPr>
        <w:t>. Humanities Genius, 2020.</w:t>
      </w:r>
    </w:p>
    <w:p w:rsidR="008D1526" w:rsidRDefault="008D1526" w:rsidP="00B63726">
      <w:pPr>
        <w:spacing w:before="240" w:after="0" w:line="240" w:lineRule="auto"/>
        <w:jc w:val="both"/>
        <w:outlineLvl w:val="0"/>
        <w:rPr>
          <w:rFonts w:ascii="Garamond" w:hAnsi="Garamond"/>
          <w:b/>
          <w:sz w:val="24"/>
          <w:szCs w:val="24"/>
        </w:rPr>
      </w:pPr>
      <w:r>
        <w:rPr>
          <w:rFonts w:ascii="Garamond" w:hAnsi="Garamond"/>
          <w:b/>
          <w:sz w:val="24"/>
          <w:szCs w:val="24"/>
        </w:rPr>
        <w:fldChar w:fldCharType="end"/>
      </w:r>
    </w:p>
    <w:sectPr w:rsidR="008D1526" w:rsidSect="003363B0">
      <w:headerReference w:type="even" r:id="rId9"/>
      <w:headerReference w:type="default" r:id="rId10"/>
      <w:headerReference w:type="first" r:id="rId11"/>
      <w:footerReference w:type="first" r:id="rId12"/>
      <w:pgSz w:w="10319" w:h="14572" w:code="13"/>
      <w:pgMar w:top="1027" w:right="1418" w:bottom="1418" w:left="1418" w:header="720" w:footer="2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27A" w:rsidRDefault="0055727A">
      <w:pPr>
        <w:spacing w:after="0" w:line="240" w:lineRule="auto"/>
      </w:pPr>
      <w:r>
        <w:separator/>
      </w:r>
    </w:p>
  </w:endnote>
  <w:endnote w:type="continuationSeparator" w:id="0">
    <w:p w:rsidR="0055727A" w:rsidRDefault="0055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68" w:rsidRPr="00563577" w:rsidRDefault="00622E68" w:rsidP="00157936">
    <w:pPr>
      <w:pStyle w:val="Footer"/>
      <w:jc w:val="center"/>
      <w:rPr>
        <w:rFonts w:ascii="Garamond" w:hAnsi="Garamond"/>
        <w:sz w:val="20"/>
        <w:szCs w:val="20"/>
      </w:rPr>
    </w:pPr>
    <w:r w:rsidRPr="00563577">
      <w:rPr>
        <w:rFonts w:ascii="Garamond" w:hAnsi="Garamond"/>
        <w:sz w:val="20"/>
        <w:szCs w:val="20"/>
      </w:rPr>
      <w:t xml:space="preserve">Copyright © </w:t>
    </w:r>
    <w:r>
      <w:rPr>
        <w:rFonts w:ascii="Garamond" w:hAnsi="Garamond"/>
        <w:sz w:val="20"/>
        <w:szCs w:val="20"/>
      </w:rPr>
      <w:t>xxxxxxx</w:t>
    </w:r>
  </w:p>
  <w:p w:rsidR="00622E68" w:rsidRPr="00563577" w:rsidRDefault="00622E68" w:rsidP="00622E68">
    <w:pPr>
      <w:pStyle w:val="Footer"/>
      <w:jc w:val="center"/>
      <w:rPr>
        <w:rFonts w:ascii="Garamond" w:hAnsi="Garamond"/>
        <w:sz w:val="20"/>
        <w:szCs w:val="20"/>
      </w:rPr>
    </w:pPr>
    <w:r w:rsidRPr="00563577">
      <w:rPr>
        <w:rFonts w:ascii="Garamond" w:hAnsi="Garamond"/>
        <w:sz w:val="20"/>
        <w:szCs w:val="20"/>
      </w:rPr>
      <w:t>This work is licensed under a </w:t>
    </w:r>
    <w:hyperlink r:id="rId1" w:history="1">
      <w:r w:rsidRPr="00563577">
        <w:rPr>
          <w:rFonts w:ascii="Garamond" w:hAnsi="Garamond"/>
          <w:sz w:val="20"/>
          <w:szCs w:val="20"/>
        </w:rPr>
        <w:t>Creative Commons Attribution-NonCommercial-ShareAlike 4.0 International License</w:t>
      </w:r>
    </w:hyperlink>
    <w:r>
      <w:rPr>
        <w:rFonts w:ascii="Garamond" w:hAnsi="Garamond"/>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27A" w:rsidRDefault="0055727A">
      <w:pPr>
        <w:spacing w:after="0" w:line="240" w:lineRule="auto"/>
      </w:pPr>
      <w:r>
        <w:separator/>
      </w:r>
    </w:p>
  </w:footnote>
  <w:footnote w:type="continuationSeparator" w:id="0">
    <w:p w:rsidR="0055727A" w:rsidRDefault="0055727A">
      <w:pPr>
        <w:spacing w:after="0" w:line="240" w:lineRule="auto"/>
      </w:pPr>
      <w:r>
        <w:continuationSeparator/>
      </w:r>
    </w:p>
  </w:footnote>
  <w:footnote w:id="1">
    <w:p w:rsidR="008D1526" w:rsidRPr="00FF02D2" w:rsidRDefault="008D1526" w:rsidP="008D1526">
      <w:pPr>
        <w:pStyle w:val="FootnoteText"/>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Pr="00FF02D2">
        <w:rPr>
          <w:rFonts w:ascii="Garamond" w:hAnsi="Garamond"/>
        </w:rPr>
        <w:instrText>ADDIN CSL_CITATION {"citationItems":[{"id":"ITEM-1","itemData":{"DOI":"10.30631/al-risalah.v14i02.452","ISSN":"2540-9522","author":[{"dropping-particle":"","family":"Sri Wahyuni","given":"","non-dropping-particle":"","parse-names":false,"suffix":""}],"container-title":"Al-Risalah","id":"ITEM-1","issue":"02","issued":{"date-parts":[["2014"]]},"page":"293-306","title":"Kontroversi Perkawinan Beda Agama di Indonesia","type":"article-journal","volume":"14"},"uris":["http://www.mendeley.com/documents/?uuid=a3f2dba6-087b-4de3-b5bd-7a7399c68b4e"]}],"mendeley":{"formattedCitation":"Sri Wahyuni, “Kontroversi Perkawinan Beda Agama Di Indonesia,” &lt;i&gt;Al-Risalah&lt;/i&gt; 14, no. 02 (2014): 293–306, https://doi.org/10.30631/al-risalah.v14i02.452.","plainTextFormattedCitation":"Sri Wahyuni, “Kontroversi Perkawinan Beda Agama Di Indonesia,” Al-Risalah 14, no. 02 (2014): 293–306, https://doi.org/10.30631/al-risalah.v14i02.452.","previouslyFormattedCitation":"Sri Wahyuni, “Kontroversi Perkawinan Beda Agama Di Indonesia,” &lt;i&gt;Al-Risalah&lt;/i&gt; 14, no. 02 (2014): 293–306, https://doi.org/10.30631/al-risalah.v14i02.452."},"properties":{"noteIndex":1},"schema":"https://github.com/citation-style-language/schema/raw/master/csl-citation.json"}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Sri Wahyuni, “Kontroversi Perkawinan Beda Agama Di Indonesia,” </w:t>
      </w:r>
      <w:r w:rsidRPr="00FF02D2">
        <w:rPr>
          <w:rFonts w:ascii="Garamond" w:hAnsi="Garamond"/>
          <w:i/>
          <w:noProof/>
        </w:rPr>
        <w:t>Al-Risalah</w:t>
      </w:r>
      <w:r w:rsidRPr="00FF02D2">
        <w:rPr>
          <w:rFonts w:ascii="Garamond" w:hAnsi="Garamond"/>
          <w:noProof/>
        </w:rPr>
        <w:t xml:space="preserve"> 14, no. 02 (2014): 293–306, https://doi.org/10.30631/al-risalah.v14i02.452.</w:t>
      </w:r>
      <w:r w:rsidRPr="00FF02D2">
        <w:rPr>
          <w:rFonts w:ascii="Garamond" w:hAnsi="Garamond"/>
        </w:rPr>
        <w:fldChar w:fldCharType="end"/>
      </w:r>
    </w:p>
  </w:footnote>
  <w:footnote w:id="2">
    <w:p w:rsidR="008D1526" w:rsidRPr="00FF02D2" w:rsidRDefault="008D1526" w:rsidP="008D1526">
      <w:pPr>
        <w:pStyle w:val="FootnoteText"/>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Pr="00FF02D2">
        <w:rPr>
          <w:rFonts w:ascii="Garamond" w:hAnsi="Garamond"/>
        </w:rPr>
        <w:instrText>ADDIN CSL_CITATION {"citationItems":[{"id":"ITEM-1","itemData":{"URL":"https://www.suaramerdeka.com/nasional/pr-042994588/pernikahan-beda-agama-stafsus-jokowi-ayu-dan-gerald-umumkan-lewat-instagram-mohon-doa-dan-dukungan","accessed":{"date-parts":[["2022","12","7"]]},"author":[{"dropping-particle":"","family":"Nurmaya","given":"Edyna Ratna","non-dropping-particle":"","parse-names":false,"suffix":""}],"container-title":"Suara Merdeka","id":"ITEM-1","issued":{"date-parts":[["2022"]]},"title":"Pernikahan Beda Agama Stafsus Jokowi: Ayu dan Gerald Umumkan Lewat Instagram, Mohon Doa dan Dukungan - Suara Merdeka","type":"webpage"},"uris":["http://www.mendeley.com/documents/?uuid=99c84c61-07dc-3246-8f7b-27367b274808"]}],"mendeley":{"formattedCitation":"Edyna Ratna Nurmaya, “Pernikahan Beda Agama Stafsus Jokowi: Ayu Dan Gerald Umumkan Lewat Instagram, Mohon Doa Dan Dukungan - Suara Merdeka,” Suara Merdeka, 2022, https://www.suaramerdeka.com/nasional/pr-042994588/pernikahan-beda-agama-stafsus-jokowi-ayu-dan-gerald-umumkan-lewat-instagram-mohon-doa-dan-dukungan.","plainTextFormattedCitation":"Edyna Ratna Nurmaya, “Pernikahan Beda Agama Stafsus Jokowi: Ayu Dan Gerald Umumkan Lewat Instagram, Mohon Doa Dan Dukungan - Suara Merdeka,” Suara Merdeka, 2022, https://www.suaramerdeka.com/nasional/pr-042994588/pernikahan-beda-agama-stafsus-jokowi-ayu-dan-gerald-umumkan-lewat-instagram-mohon-doa-dan-dukungan.","previouslyFormattedCitation":"Edyna Ratna Nurmaya, “Pernikahan Beda Agama Stafsus Jokowi: Ayu Dan Gerald Umumkan Lewat Instagram, Mohon Doa Dan Dukungan - Suara Merdeka,” Suara Merdeka, 2022, https://www.suaramerdeka.com/nasional/pr-042994588/pernikahan-beda-agama-stafsus-jokowi-ayu-dan-gerald-umumkan-lewat-instagram-mohon-doa-dan-dukungan."},"properties":{"noteIndex":2},"schema":"https://github.com/citation-style-language/schema/raw/master/csl-citation.json"}</w:instrText>
      </w:r>
      <w:r w:rsidRPr="00FF02D2">
        <w:rPr>
          <w:rFonts w:ascii="Garamond" w:hAnsi="Garamond"/>
        </w:rPr>
        <w:fldChar w:fldCharType="separate"/>
      </w:r>
      <w:r w:rsidRPr="00FF02D2">
        <w:rPr>
          <w:rFonts w:ascii="Garamond" w:hAnsi="Garamond"/>
          <w:noProof/>
        </w:rPr>
        <w:t>Edyna Ratna Nurmaya, “Pernikahan Beda Agama Stafsus Jokowi: Ayu Dan Gerald Umumkan Lewat Instagram, Mohon Doa Dan Dukungan - Suara Merdeka,” Suara Merdeka, 2022, https://www.suaramerdeka.com/nasional/pr-042994588/pernikahan-beda-agama-stafsus-jokowi-ayu-dan-gerald-umumkan-lewat-instagram-mohon-doa-dan-dukungan.</w:t>
      </w:r>
      <w:r w:rsidRPr="00FF02D2">
        <w:rPr>
          <w:rFonts w:ascii="Garamond" w:hAnsi="Garamond"/>
        </w:rPr>
        <w:fldChar w:fldCharType="end"/>
      </w:r>
    </w:p>
  </w:footnote>
  <w:footnote w:id="3">
    <w:p w:rsidR="008D1526" w:rsidRPr="00FF02D2" w:rsidRDefault="008D1526" w:rsidP="008D1526">
      <w:pPr>
        <w:pStyle w:val="FootnoteText"/>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Pr="00FF02D2">
        <w:rPr>
          <w:rFonts w:ascii="Garamond" w:hAnsi="Garamond"/>
        </w:rPr>
        <w:instrText>ADDIN CSL_CITATION {"citationItems":[{"id":"ITEM-1","itemData":{"URL":"https://www.suaramerdeka.com/nasional/pr-042994588/pernikahan-beda-agama-stafsus-jokowi-ayu-dan-gerald-umumkan-lewat-instagram-mohon-doa-dan-dukungan","accessed":{"date-parts":[["2022","12","7"]]},"author":[{"dropping-particle":"","family":"Saputra","given":"Andi","non-dropping-particle":"","parse-names":false,"suffix":""}],"container-title":"Detik News","id":"ITEM-1","issued":{"date-parts":[["2022"]]},"title":"PN Surabaya Izinkan Pernikahan Beda Agama Pasangan Islam-Kristen Ini","type":"webpage"},"uris":["http://www.mendeley.com/documents/?uuid=f5bd17c3-6b9d-38d0-b6a4-65304297156a"]}],"mendeley":{"formattedCitation":"Andi Saputra, “PN Surabaya Izinkan Pernikahan Beda Agama Pasangan Islam-Kristen Ini,” Detik News, 2022, https://www.suaramerdeka.com/nasional/pr-042994588/pernikahan-beda-agama-stafsus-jokowi-ayu-dan-gerald-umumkan-lewat-instagram-mohon-doa-dan-dukungan.","plainTextFormattedCitation":"Andi Saputra, “PN Surabaya Izinkan Pernikahan Beda Agama Pasangan Islam-Kristen Ini,” Detik News, 2022, https://www.suaramerdeka.com/nasional/pr-042994588/pernikahan-beda-agama-stafsus-jokowi-ayu-dan-gerald-umumkan-lewat-instagram-mohon-doa-dan-dukungan.","previouslyFormattedCitation":"Andi Saputra, “PN Surabaya Izinkan Pernikahan Beda Agama Pasangan Islam-Kristen Ini,” Detik News, 2022, https://www.suaramerdeka.com/nasional/pr-042994588/pernikahan-beda-agama-stafsus-jokowi-ayu-dan-gerald-umumkan-lewat-instagram-mohon-doa-dan-dukungan."},"properties":{"noteIndex":3},"schema":"https://github.com/citation-style-language/schema/raw/master/csl-citation.json"}</w:instrText>
      </w:r>
      <w:r w:rsidRPr="00FF02D2">
        <w:rPr>
          <w:rFonts w:ascii="Garamond" w:hAnsi="Garamond"/>
        </w:rPr>
        <w:fldChar w:fldCharType="separate"/>
      </w:r>
      <w:r w:rsidRPr="00FF02D2">
        <w:rPr>
          <w:rFonts w:ascii="Garamond" w:hAnsi="Garamond"/>
          <w:noProof/>
        </w:rPr>
        <w:t>Andi Saputra, “PN Surabaya Izinkan Pernikahan Beda Agama Pasangan Islam-Kristen Ini,” Detik News, 2022, https://www.suaramerdeka.com/nasional/pr-042994588/pernikahan-beda-agama-stafsus-jokowi-ayu-dan-gerald-umumkan-lewat-instagram-mohon-doa-dan-dukungan.</w:t>
      </w:r>
      <w:r w:rsidRPr="00FF02D2">
        <w:rPr>
          <w:rFonts w:ascii="Garamond" w:hAnsi="Garamond"/>
        </w:rPr>
        <w:fldChar w:fldCharType="end"/>
      </w:r>
    </w:p>
  </w:footnote>
  <w:footnote w:id="4">
    <w:p w:rsidR="008D1526" w:rsidRPr="00FF02D2" w:rsidRDefault="008D1526" w:rsidP="008D1526">
      <w:pPr>
        <w:pStyle w:val="FootnoteText"/>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Pr="00FF02D2">
        <w:rPr>
          <w:rFonts w:ascii="Garamond" w:hAnsi="Garamond"/>
        </w:rPr>
        <w:instrText>ADDIN CSL_CITATION {"citationItems":[{"id":"ITEM-1","itemData":{"author":[{"dropping-particle":"","family":"Konstitusi","given":"Mahkamah","non-dropping-particle":"","parse-names":false,"suffix":""}],"container-title":"Mahkmah Konstitusi","id":"ITEM-1","issued":{"date-parts":[["2015"]]},"page":"1-162","title":"Putusan Mahkamah Konstitusi Nomor 68/PUU-XII/2014","type":"legislation"},"uris":["http://www.mendeley.com/documents/?uuid=14a40e4e-d9f9-44f3-96c5-5991a6b0513d"]}],"mendeley":{"formattedCitation":"Mahkamah Konstitusi, “Putusan Mahkamah Konstitusi Nomor 68/PUU-XII/2014,” Mahkmah Konstitusi § (2015).","manualFormatting":"Mahkamah Konstitusi, “Putusan Mahkamah Konstitusi Nomor 68/PUU-XII/2014,” Mahkmah Konstitusi (2015).","plainTextFormattedCitation":"Mahkamah Konstitusi, “Putusan Mahkamah Konstitusi Nomor 68/PUU-XII/2014,” Mahkmah Konstitusi § (2015).","previouslyFormattedCitation":"Mahkamah Konstitusi, “Putusan Mahkamah Konstitusi Nomor 68/PUU-XII/2014,” Mahkmah Konstitusi § (2015)."},"properties":{"noteIndex":4},"schema":"https://github.com/citation-style-language/schema/raw/master/csl-citation.json"}</w:instrText>
      </w:r>
      <w:r w:rsidRPr="00FF02D2">
        <w:rPr>
          <w:rFonts w:ascii="Garamond" w:hAnsi="Garamond"/>
        </w:rPr>
        <w:fldChar w:fldCharType="separate"/>
      </w:r>
      <w:r w:rsidRPr="00FF02D2">
        <w:rPr>
          <w:rFonts w:ascii="Garamond" w:hAnsi="Garamond"/>
          <w:noProof/>
        </w:rPr>
        <w:t>Mahkamah Konstitusi, “Putusan Mahkamah Konstitusi Nomor 68/PUU-XII/2014,” Mahkmah Konstitusi (2015).</w:t>
      </w:r>
      <w:r w:rsidRPr="00FF02D2">
        <w:rPr>
          <w:rFonts w:ascii="Garamond" w:hAnsi="Garamond"/>
        </w:rPr>
        <w:fldChar w:fldCharType="end"/>
      </w:r>
    </w:p>
  </w:footnote>
  <w:footnote w:id="5">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{"citationItems":[{"id":"ITEM-1","itemData":{"author":[{"dropping-particle":"","family":"Pengadilan Negeri Pati","given":"","non-dropping-particle":"","parse-names":false,"suffix":""}],"id":"ITEM-1","issued":{"date-parts":[["2020"]]},"title":"Direktori Putusan Mahkamah Agung","type":"legislation"},"uris":["http://www.mendeley.com/documents/?uuid=90bc3749-876f-372a-850a-3d441df0f52d"]}],"mendeley":{"formattedCitation":"Pengadilan Negeri Pati, “Direktori Putusan Mahkamah Agung” (2020), https://putusan3.mahkamahagung.go.id/direktori/putusan/93973df576e75724bfdabc28d2f58619.html.","plainTextFormattedCitation":"Pengadilan Negeri Pati, “Direktori Putusan Mahkamah Agung” (2020), https://putusan3.mahkamahagung.go.id/direktori/putusan/93973df576e75724bfdabc28d2f58619.html.","previouslyFormattedCitation":"Pengadilan Negeri Pati, “Direktori Putusan Mahkamah Agung” (2020), https://putusan3.mahkamahagung.go.id/direktori/putusan/93973df576e75724bfdabc28d2f58619.html."},"properties":{"noteIndex":5},"schema":"https://github.com/citation-style-language/schema/raw/master/csl-citation.json"}</w:instrText>
      </w:r>
      <w:r w:rsidRPr="00FF02D2">
        <w:rPr>
          <w:rFonts w:ascii="Garamond" w:hAnsi="Garamond"/>
        </w:rPr>
        <w:fldChar w:fldCharType="separate"/>
      </w:r>
      <w:r w:rsidRPr="00FF02D2">
        <w:rPr>
          <w:rFonts w:ascii="Garamond" w:hAnsi="Garamond"/>
          <w:noProof/>
        </w:rPr>
        <w:t>Pengadilan Negeri Pati, “Direktori Putusan Mahkamah Agung” (2020), https://putusan3.mahkamahagung.go.id/direktori/putusan/93973df576e75724bfdabc28d2f58619.html.</w:t>
      </w:r>
      <w:r w:rsidRPr="00FF02D2">
        <w:rPr>
          <w:rFonts w:ascii="Garamond" w:hAnsi="Garamond"/>
        </w:rPr>
        <w:fldChar w:fldCharType="end"/>
      </w:r>
    </w:p>
  </w:footnote>
  <w:footnote w:id="6">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{"citationItems":[{"id":"ITEM-1","itemData":{"id":"ITEM-1","issued":{"date-parts":[["2022"]]},"title":"Direktori Putusan Mahkmah Agung","type":"legislation"},"uris":["http://www.mendeley.com/documents/?uuid=b82760a0-3b89-3ff3-9b8b-cfa4eed8ff75"]}],"mendeley":{"formattedCitation":"“Direktori Putusan Mahkmah Agung” (2022), https://putusan3.mahkamahagung.go.id/direktori/putusan/zaecc51c755dad32a412313135303536.html.","plainTextFormattedCitation":"“Direktori Putusan Mahkmah Agung” (2022), https://putusan3.mahkamahagung.go.id/direktori/putusan/zaecc51c755dad32a412313135303536.html.","previouslyFormattedCitation":"“Direktori Putusan Mahkmah Agung” (2022), https://putusan3.mahkamahagung.go.id/direktori/putusan/zaecc51c755dad32a412313135303536.html."},"properties":{"noteIndex":6},"schema":"https://github.com/citation-style-language/schema/raw/master/csl-citation.json"}</w:instrText>
      </w:r>
      <w:r w:rsidRPr="00FF02D2">
        <w:rPr>
          <w:rFonts w:ascii="Garamond" w:hAnsi="Garamond"/>
        </w:rPr>
        <w:fldChar w:fldCharType="separate"/>
      </w:r>
      <w:r w:rsidRPr="00FF02D2">
        <w:rPr>
          <w:rFonts w:ascii="Garamond" w:hAnsi="Garamond"/>
          <w:noProof/>
        </w:rPr>
        <w:t>“Direktori Putusan Mahkmah Agung” (2022), https://putusan3.mahkamahagung.go.id/direktori/putusan/zaecc51c755dad32a412313135303536.html.</w:t>
      </w:r>
      <w:r w:rsidRPr="00FF02D2">
        <w:rPr>
          <w:rFonts w:ascii="Garamond" w:hAnsi="Garamond"/>
        </w:rPr>
        <w:fldChar w:fldCharType="end"/>
      </w:r>
    </w:p>
  </w:footnote>
  <w:footnote w:id="7">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URL":"https://www.suaramerdeka.com/nasional/pr-042994588/pernikahan-beda-agama-stafsus-jokowi-ayu-dan-gerald-umumkan-lewat-instagram-mohon-doa-dan-dukungan","accessed":{"date-parts":[["2022","12","7"]]},"author":[{"dropping-particle":"","family":"Nurmaya","given":"Edyna Ratna","non-dropping-particle":"","parse-names":false,"suffix":""}],"container-title":"Suara Merdeka","id":"ITEM-1","issued":{"date-parts":[["2022"]]},"title":"Pernikahan Beda Agama Stafsus Jokowi: Ayu dan Gerald Umumkan Lewat Instagram, Mohon Doa dan Dukungan - Suara Merdeka","type":"webpage"},"uris":["http://www.mendeley.com/documents/?uuid=99c84c61-07dc-3246-8f7b-27367b274808"]}],"mendeley":{"formattedCitation":"Nurmaya, “Pernikahan Beda Agama Stafsus Jokowi: Ayu Dan Gerald Umumkan Lewat Instagram, Mohon Doa Dan Dukungan - Suara Merdeka.”","plainTextFormattedCitation":"Nurmaya, “Pernikahan Beda Agama Stafsus Jokowi: Ayu Dan Gerald Umumkan Lewat Instagram, Mohon Doa Dan Dukungan - Suara Merdeka.”","previouslyFormattedCitation":"Nurmaya, “Pernikahan Beda Agama Stafsus Jokowi: Ayu Dan Gerald Umumkan Lewat Instagram, Mohon Doa Dan Dukungan - Suara Merdeka.”"},"properties":{"noteIndex":7},"schema":"https://github.com/citation-style-language/schema/raw/master/csl-citation.json"}</w:instrText>
      </w:r>
      <w:r w:rsidRPr="00FF02D2">
        <w:rPr>
          <w:rFonts w:ascii="Garamond" w:hAnsi="Garamond"/>
        </w:rPr>
        <w:fldChar w:fldCharType="separate"/>
      </w:r>
      <w:r w:rsidRPr="00FF02D2">
        <w:rPr>
          <w:rFonts w:ascii="Garamond" w:hAnsi="Garamond"/>
          <w:noProof/>
        </w:rPr>
        <w:t>Nurmaya, “Pernikahan Beda Agama Stafsus Jokowi: Ayu Dan Gerald Umumkan Lewat Instagram, Mohon Doa Dan Dukungan - Suara Merdeka.”</w:t>
      </w:r>
      <w:r w:rsidRPr="00FF02D2">
        <w:rPr>
          <w:rFonts w:ascii="Garamond" w:hAnsi="Garamond"/>
        </w:rPr>
        <w:fldChar w:fldCharType="end"/>
      </w:r>
    </w:p>
  </w:footnote>
  <w:footnote w:id="8">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{"citationItems":[{"id":"ITEM-1","itemData":{"abstract":"Stafsus Presiden menikah dengan menjalani 2 prosesi agama berbeda &amp; di hari yg sama Pengadilan Negeri Pontianak berikan izin pasangan beda agama mencatatkan pernikahannya di Dukcapil setempat. UU perkawinan tak mengatur pernikahan beda agama. Sementara Dukcapil hanya bisa mencatat pernikahan jika agamanya sama. Lantas bagaimana status mereka yg melangsungkan pernikahan beda agama?","author":[{"dropping-particle":"","family":"Reva Deddy Utama","given":"","non-dropping-particle":"","parse-names":false,"suffix":""}],"id":"ITEM-1","issued":{"date-parts":[["2022"]]},"title":"Catatan Demokrasi: Nikah Beda Agama di Indonesia, Kok Bisa?","type":"broadcast"},"uris":["http://www.mendeley.com/documents/?uuid=01565c58-a1c3-3fae-bc5a-bdfea63402cd"]}],"mendeley":{"formattedCitation":"Reva Deddy Utama, “Catatan Demokrasi: Nikah Beda Agama Di Indonesia, Kok Bisa?,” 2022, https://www.youtube.com/watch?v=yRoC2UwiXME.","plainTextFormattedCitation":"Reva Deddy Utama, “Catatan Demokrasi: Nikah Beda Agama Di Indonesia, Kok Bisa?,” 2022, https://www.youtube.com/watch?v=yRoC2UwiXME.","previouslyFormattedCitation":"Reva Deddy Utama, “Catatan Demokrasi: Nikah Beda Agama Di Indonesia, Kok Bisa?,” 2022, https://www.youtube.com/watch?v=yRoC2UwiXME."},"properties":{"noteIndex":8},"schema":"https://github.com/citation-style-language/schema/raw/master/csl-citation.json"}</w:instrText>
      </w:r>
      <w:r w:rsidRPr="00FF02D2">
        <w:rPr>
          <w:rFonts w:ascii="Garamond" w:hAnsi="Garamond"/>
        </w:rPr>
        <w:fldChar w:fldCharType="separate"/>
      </w:r>
      <w:r w:rsidRPr="00FF02D2">
        <w:rPr>
          <w:rFonts w:ascii="Garamond" w:hAnsi="Garamond"/>
          <w:noProof/>
        </w:rPr>
        <w:t>Reva Deddy Utama, “Catatan Demokrasi: Nikah Beda Agama Di Indonesia, Kok Bisa?,” 2022, https://www.youtube.com/watch?v=yRoC2UwiXME.</w:t>
      </w:r>
      <w:r w:rsidRPr="00FF02D2">
        <w:rPr>
          <w:rFonts w:ascii="Garamond" w:hAnsi="Garamond"/>
        </w:rPr>
        <w:fldChar w:fldCharType="end"/>
      </w:r>
    </w:p>
  </w:footnote>
  <w:footnote w:id="9">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{"citationItems":[{"id":"ITEM-1","itemData":{"ISBN":"6025522138","author":[{"dropping-particle":"","family":"Qamar","given":"Nurul","non-dropping-particle":"","parse-names":false,"suffix":""}],"id":"ITEM-1","issued":{"date-parts":[["2018"]]},"publisher":"CV. Social Politic Genius (SIGn)","title":"Logika dan Penalaran dalam Ilmu Hukum","type":"book"},"uris":["http://www.mendeley.com/documents/?uuid=00bf95a3-7b1f-4883-9a01-b3166f852ce7"]}],"mendeley":{"formattedCitation":"Nurul Qamar, &lt;i&gt;Logika Dan Penalaran Dalam Ilmu Hukum&lt;/i&gt; (CV. Social Politic Genius (SIGn), 2018).","plainTextFormattedCitation":"Nurul Qamar, Logika Dan Penalaran Dalam Ilmu Hukum (CV. Social Politic Genius (SIGn), 2018).","previouslyFormattedCitation":"Nurul Qamar, &lt;i&gt;Logika Dan Penalaran Dalam Ilmu Hukum&lt;/i&gt; (CV. Social Politic Genius (SIGn), 2018)."},"properties":{"noteIndex":9},"schema":"https://github.com/citation-style-language/schema/raw/master/csl-citation.json"}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Nurul Qamar, </w:t>
      </w:r>
      <w:r w:rsidRPr="00FF02D2">
        <w:rPr>
          <w:rFonts w:ascii="Garamond" w:hAnsi="Garamond"/>
          <w:i/>
          <w:noProof/>
        </w:rPr>
        <w:t>Logika Dan Penalaran Dalam Ilmu Hukum</w:t>
      </w:r>
      <w:r w:rsidRPr="00FF02D2">
        <w:rPr>
          <w:rFonts w:ascii="Garamond" w:hAnsi="Garamond"/>
          <w:noProof/>
        </w:rPr>
        <w:t xml:space="preserve"> (CV. Social Politic Genius (SIGn), 2018).</w:t>
      </w:r>
      <w:r w:rsidRPr="00FF02D2">
        <w:rPr>
          <w:rFonts w:ascii="Garamond" w:hAnsi="Garamond"/>
        </w:rPr>
        <w:fldChar w:fldCharType="end"/>
      </w:r>
    </w:p>
  </w:footnote>
  <w:footnote w:id="10">
    <w:p w:rsidR="00C33863" w:rsidRPr="00FF02D2" w:rsidRDefault="00C33863"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{"citationItems":[{"id":"ITEM-1","itemData":{"author":[{"dropping-particle":"","family":"Irfani","given":"Nurfaqih","non-dropping-particle":"","parse-names":false,"suffix":""}],"container-title":"Jurnal Legislasi Indonesia","id":"ITEM-1","issue":"3","issued":{"date-parts":[["2020"]]},"page":"305-325","title":"Asas Lex Superior, Lex Specialis, dan Lex Posterior: Pemaknaan, Problematika, dan Penggunaannya dalam Penalaran dan Argumentasi Hukum","type":"article-journal","volume":"16"},"uris":["http://www.mendeley.com/documents/?uuid=49c054ac-2efb-48e2-82d1-764da75c910a"]}],"mendeley":{"formattedCitation":"Nurfaqih Irfani, “Asas Lex Superior, Lex Specialis, Dan Lex Posterior: Pemaknaan, Problematika, Dan Penggunaannya Dalam Penalaran Dan Argumentasi Hukum,” &lt;i&gt;Jurnal Legislasi Indonesia&lt;/i&gt; 16, no. 3 (2020): 305–25.","plainTextFormattedCitation":"Nurfaqih Irfani, “Asas Lex Superior, Lex Specialis, Dan Lex Posterior: Pemaknaan, Problematika, Dan Penggunaannya Dalam Penalaran Dan Argumentasi Hukum,” Jurnal Legislasi Indonesia 16, no. 3 (2020): 305–25.","previouslyFormattedCitation":"Nurfaqih Irfani, “Asas Lex Superior, Lex Specialis, Dan Lex Posterior: Pemaknaan, Problematika, Dan Penggunaannya Dalam Penalaran Dan Argumentasi Hukum,” &lt;i&gt;Jurnal Legislasi Indonesia&lt;/i&gt; 16, no. 3 (2020): 305–25."},"properties":{"noteIndex":10},"schema":"https://github.com/citation-style-language/schema/raw/master/csl-citation.json"}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Nurfaqih Irfani, “Asas Lex Superior, Lex Specialis, Dan Lex Posterior: Pemaknaan, Problematika, Dan Penggunaannya Dalam Penalaran Dan Argumentasi Hukum,” </w:t>
      </w:r>
      <w:r w:rsidRPr="00FF02D2">
        <w:rPr>
          <w:rFonts w:ascii="Garamond" w:hAnsi="Garamond"/>
          <w:i/>
          <w:noProof/>
        </w:rPr>
        <w:t>Jurnal Legislasi Indonesia</w:t>
      </w:r>
      <w:r w:rsidRPr="00FF02D2">
        <w:rPr>
          <w:rFonts w:ascii="Garamond" w:hAnsi="Garamond"/>
          <w:noProof/>
        </w:rPr>
        <w:t xml:space="preserve"> 16, no. 3 (2020): 305–25.</w:t>
      </w:r>
      <w:r w:rsidRPr="00FF02D2">
        <w:rPr>
          <w:rFonts w:ascii="Garamond" w:hAnsi="Garamond"/>
        </w:rPr>
        <w:fldChar w:fldCharType="end"/>
      </w:r>
    </w:p>
  </w:footnote>
  <w:footnote w:id="11">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{"citationItems":[{"id":"ITEM-1","itemData":{"ISSN":"6025799687","author":[{"dropping-particle":"","family":"Harahap","given":"Nursapia","non-dropping-particle":"","parse-names":false,"suffix":""}],"id":"ITEM-1","issued":{"date-parts":[["2020"]]},"publisher":"Wal ashri Publishing","title":"Penelitian kualitatif","type":"article-journal"},"uris":["http://www.mendeley.com/documents/?uuid=130705c0-8c6e-483d-8575-dc65e365dba8"]}],"mendeley":{"formattedCitation":"Nursapia Harahap, “Penelitian Kualitatif,” 2020.","plainTextFormattedCitation":"Nursapia Harahap, “Penelitian Kualitatif,” 2020.","previouslyFormattedCitation":"Nursapia Harahap, “Penelitian Kualitatif,” 2020."},"properties":{"noteIndex":11},"schema":"https://github.com/citation-style-language/schema/raw/master/csl-citation.json"}</w:instrText>
      </w:r>
      <w:r w:rsidRPr="00FF02D2">
        <w:rPr>
          <w:rFonts w:ascii="Garamond" w:hAnsi="Garamond"/>
        </w:rPr>
        <w:fldChar w:fldCharType="separate"/>
      </w:r>
      <w:r w:rsidRPr="00FF02D2">
        <w:rPr>
          <w:rFonts w:ascii="Garamond" w:hAnsi="Garamond"/>
          <w:noProof/>
        </w:rPr>
        <w:t>Nursapia Harahap, “Penelitian Kualitatif,” 2020.</w:t>
      </w:r>
      <w:r w:rsidRPr="00FF02D2">
        <w:rPr>
          <w:rFonts w:ascii="Garamond" w:hAnsi="Garamond"/>
        </w:rPr>
        <w:fldChar w:fldCharType="end"/>
      </w:r>
    </w:p>
  </w:footnote>
  <w:footnote w:id="12">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{"citationItems":[{"id":"ITEM-1","itemData":{"ISSN":"1411-8041","abstract":"Salah satu fenomena yang terjadi di Indonesia adalah perkawinan beda agama. Perkawinan tersebut sebahagian dilakukan secara terang-terangan dan sebahagian dilakukan sembunyi-sembunyi. Islam melarang perkawinan beda agama berdasarkan  firman Allah  surat al-Baqarah ayat 221. Perkawinan beda agama juga dilarang oleh Undang-undang Nomor 1 Tahun 1974 pasal 2. Masalah pokok dalam penelitian ini adalah bagaimana hukum pernikahan  beda agama menurut peraturan perundang-undangan di Indonesia, dan bagaimana hukum pernikahan  beda agama menurut  fuqaha . Penelitian ini merupakan penelitian pustaka. Sumber data dalam penelitian ini antaralain: al-Quran dan al-hadis, pendapat  fuqaha, UU No 1 tahun 1974 tentang perkawinan, dan Kompilasi Hukum Islam.Untuk mengkaji pemasalahan tersebut yang digunakan penelitian kepustakaan ( library research ) dan bersifat deskriptif analitik. Hasil penelitian menunjukkan bahwa Pasal 2 ayat (1)  UU No. 1 Tahun 1974 tentang Perkawinan  (“UU 1/1974”) menyatakan  bahwa perkawinan adalah sah, apabila dilakukan menurut hukum masing-masing agamanya dan kepercayaannya. Pasal 10  PP No. 9 Tahun 1975  dinyatakan bahwa perkawinan baru sah jika dilakukan di hadapan pegawai pencatat dan dihadiri dua orang saksi. Dan tata cara perkawinan dilakukan menurut hukum masing-masing agamanya dan kepercayaannya. Jadi, UU 1/1974 tidak mengenal perkawinan beda agama, sehingga perkawinan antar agama tidak dapat dilakukan.Pasal 40 KHI menyatakan larangan melangsungkan perkawinan antara seorang pria dengan seorang wanita tidak beragama Islam. Fuqaha sepakat bahwa perkawinan seorang perempuan muslimah  dengan  pria non muslim baik  ahlul kitab  atau  musyrik  tidak sah.  Sedangkan perkawinan pria muslim dengan wanita beda agama terjadi perbedaan pendapat.","author":[{"dropping-particle":"","family":"Nurcahaya","given":"","non-dropping-particle":"","parse-names":false,"suffix":""},{"dropping-particle":"","family":"Dalimunthe","given":"Mawardi","non-dropping-particle":"","parse-names":false,"suffix":""},{"dropping-particle":"","family":"Srimurhayati","given":"","non-dropping-particle":"","parse-names":false,"suffix":""}],"container-title":"Hukum Islam","id":"ITEM-1","issue":"2","issued":{"date-parts":[["2019","8","1"]]},"page":"141-156","title":"Perkawinan Beda Agama Dalam Perspektif Hukum Islam","type":"article-journal","volume":"18"},"uris":["http://www.mendeley.com/documents/?uuid=b0a30f4f-1fde-3b00-bbb2-33f66686630d"]}],"mendeley":{"formattedCitation":"Nurcahaya, Mawardi Dalimunthe, and Srimurhayati, “Perkawinan Beda Agama Dalam Perspektif Hukum Islam,” &lt;i&gt;Hukum Islam&lt;/i&gt; 18, no. 2 (August 1, 2019): 141–56, https://ejournal.uin-suska.ac.id/index.php/hukumislam/article/view/4973.","plainTextFormattedCitation":"Nurcahaya, Mawardi Dalimunthe, and Srimurhayati, “Perkawinan Beda Agama Dalam Perspektif Hukum Islam,” Hukum Islam 18, no. 2 (August 1, 2019): 141–56, https://ejournal.uin-suska.ac.id/index.php/hukumislam/article/view/4973.","previouslyFormattedCitation":"Nurcahaya, Mawardi Dalimunthe, and Srimurhayati, “Perkawinan Beda Agama Dalam Perspektif Hukum Islam,” &lt;i&gt;Hukum Islam&lt;/i&gt; 18, no. 2 (August 1, 2019): 141–56, https://ejournal.uin-suska.ac.id/index.php/hukumislam/article/view/4973."},"properties":{"noteIndex":12},"schema":"https://github.com/citation-style-language/schema/raw/master/csl-citation.json"}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Nurcahaya, Mawardi Dalimunthe, and Srimurhayati, “Perkawinan Beda Agama Dalam Perspektif Hukum Islam,” </w:t>
      </w:r>
      <w:r w:rsidRPr="00FF02D2">
        <w:rPr>
          <w:rFonts w:ascii="Garamond" w:hAnsi="Garamond"/>
          <w:i/>
          <w:noProof/>
        </w:rPr>
        <w:t>Hukum Islam</w:t>
      </w:r>
      <w:r w:rsidRPr="00FF02D2">
        <w:rPr>
          <w:rFonts w:ascii="Garamond" w:hAnsi="Garamond"/>
          <w:noProof/>
        </w:rPr>
        <w:t xml:space="preserve"> 18, no. 2 (August 1, 2019): 141–56, https://ejournal.uin-suska.ac.id/index.php/hukumislam/article/view/4973.</w:t>
      </w:r>
      <w:r w:rsidRPr="00FF02D2">
        <w:rPr>
          <w:rFonts w:ascii="Garamond" w:hAnsi="Garamond"/>
        </w:rPr>
        <w:fldChar w:fldCharType="end"/>
      </w:r>
    </w:p>
  </w:footnote>
  <w:footnote w:id="13">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{"citationItems":[{"id":"ITEM-1","itemData":{"ISSN":"2580-9865","author":[{"dropping-particle":"","family":"Bawazier","given":"Dio Alif","non-dropping-particle":"","parse-names":false,"suffix":""}],"container-title":"Sakina: Journal of Family Studies","id":"ITEM-1","issue":"3","issued":{"date-parts":[["2020"]]},"title":"Pernikahan Beda Agama (Studi Komparatif Tentang Hukum Pernikahan Beda Agama Perspektif Abdullah Ahmad An-Na’im Dan Ahmad Zahro)","type":"article-journal","volume":"4"},"uris":["http://www.mendeley.com/documents/?uuid=b80f2982-7a1c-4056-af5e-24b0d04334e1"]}],"mendeley":{"formattedCitation":"Dio Alif Bawazier, “Pernikahan Beda Agama (Studi Komparatif Tentang Hukum Pernikahan Beda Agama Perspektif Abdullah Ahmad An-Na’im Dan Ahmad Zahro),” &lt;i&gt;Sakina: Journal of Family Studies&lt;/i&gt; 4, no. 3 (2020).","plainTextFormattedCitation":"Dio Alif Bawazier, “Pernikahan Beda Agama (Studi Komparatif Tentang Hukum Pernikahan Beda Agama Perspektif Abdullah Ahmad An-Na’im Dan Ahmad Zahro),” Sakina: Journal of Family Studies 4, no. 3 (2020).","previouslyFormattedCitation":"Dio Alif Bawazier, “Pernikahan Beda Agama (Studi Komparatif Tentang Hukum Pernikahan Beda Agama Perspektif Abdullah Ahmad An-Na’im Dan Ahmad Zahro),” &lt;i&gt;Sakina: Journal of Family Studies&lt;/i&gt; 4, no. 3 (2020)."},"properties":{"noteIndex":13},"schema":"https://github.com/citation-style-language/schema/raw/master/csl-citation.json"}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Dio Alif Bawazier, “Pernikahan Beda Agama (Studi Komparatif Tentang Hukum Pernikahan Beda Agama Perspektif Abdullah Ahmad An-Na’im Dan Ahmad Zahro),” </w:t>
      </w:r>
      <w:r w:rsidRPr="00FF02D2">
        <w:rPr>
          <w:rFonts w:ascii="Garamond" w:hAnsi="Garamond"/>
          <w:i/>
          <w:noProof/>
        </w:rPr>
        <w:t>Sakina: Journal of Family Studies</w:t>
      </w:r>
      <w:r w:rsidRPr="00FF02D2">
        <w:rPr>
          <w:rFonts w:ascii="Garamond" w:hAnsi="Garamond"/>
          <w:noProof/>
        </w:rPr>
        <w:t xml:space="preserve"> 4, no. 3 (2020).</w:t>
      </w:r>
      <w:r w:rsidRPr="00FF02D2">
        <w:rPr>
          <w:rFonts w:ascii="Garamond" w:hAnsi="Garamond"/>
        </w:rPr>
        <w:fldChar w:fldCharType="end"/>
      </w:r>
    </w:p>
  </w:footnote>
  <w:footnote w:id="14">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{"citationItems":[{"id":"ITEM-1","itemData":{"DOI":"10.14421/jsa.2018.121-01","ISSN":"1978-4457","abstract":"Interfaith marriage is still an interesting theme to be discussed which is full of controversy. Ahmad Nurcholish and Ang Mei Yong were one of the phenomenal interfaith marriages in Indonesia in 2003. This study focused on the conflict management model of interfaith marriage undertaken by both. Ahmad Nurcholish is a devout Muslim, and Ang Mei Yong is a Confucian. The interfaith marriages that are lived by them are mutual agreements without any element of coercion. According to Ahmad Nurcholish, to deal with interfaith marriages there are at least 3 models, namely: self-reflection, asking for advice from the closest person, and presenting mediators, through the process of externalization, objectification, and internalization. While in conflict management there are several aspects, namely, competency, collaboration, compromise, avoidance, and accommodating.Keywords: Marriage different religion, Ahmad Nurcholis, Social Construction, Conflict Management AbstrakPernikahan beda agama masih menjadi tema menarik untuk diperbincangkan yang sarat akan kontroversi. Ahmad Nurcholish dan Ang Mei Yong merupakan salah satu pelaku nikah beda agama di Indonesia yang fenomenal pada tahun 2003. Kajian ini, memfokuskan pada model manajemen konflik Nikah beda agama yang dijalani oleh keduanya. Ahmad Nurcholish yang beragama Islam taat, dan Ang Mei Yong yang beragama Khonghucu. Pernikahan beda agama yang dijalani keduanya merupakan kesepakatan bersama tanpa ada unsur paksaan. Menurut Ahmad Nurcholish, untuk menangani nikah beda agama setidaknya ada 3 model, yaitu: refleksi diri, minta saran orang terdekat, dan menghadirkan mediator, melalui proses eksternalisasi, objektivikasi, dan internalisasi. Sementara dalam memanajemen konflik ada beberapa aspek yaitu, kompetesi, kolaborasi, kompromi, menghindar, dan mengakomodasi.Kata Kunci: Nikah Beda Agama, Ahmad Nurcholis, Konstruksi Sosial, Manjemen Konflik","author":[{"dropping-particle":"","family":"Amalia","given":"Tyas","non-dropping-particle":"","parse-names":false,"suffix":""}],"container-title":"Jurnal Sosiologi Agama","id":"ITEM-1","issue":"1","issued":{"date-parts":[["2018"]]},"page":"1","title":"Model Manajemen Konflik Pernikahan Beda Agama Dalam Pemikiran Ahmad Nurcholish","type":"article-journal","volume":"12"},"uris":["http://www.mendeley.com/documents/?uuid=71e7db14-dbb7-40e3-bd62-85cfe2541f13"]}],"mendeley":{"formattedCitation":"Tyas Amalia, “Model Manajemen Konflik Pernikahan Beda Agama Dalam Pemikiran Ahmad Nurcholish,” &lt;i&gt;Jurnal Sosiologi Agama&lt;/i&gt; 12, no. 1 (2018): 1, https://doi.org/10.14421/jsa.2018.121-01.","plainTextFormattedCitation":"Tyas Amalia, “Model Manajemen Konflik Pernikahan Beda Agama Dalam Pemikiran Ahmad Nurcholish,” Jurnal Sosiologi Agama 12, no. 1 (2018): 1, https://doi.org/10.14421/jsa.2018.121-01.","previouslyFormattedCitation":"Tyas Amalia, “Model Manajemen Konflik Pernikahan Beda Agama Dalam Pemikiran Ahmad Nurcholish,” &lt;i&gt;Jurnal Sosiologi Agama&lt;/i&gt; 12, no. 1 (2018): 1, https://doi.org/10.14421/jsa.2018.121-01."},"properties":{"noteIndex":14},"schema":"https://github.com/citation-style-language/schema/raw/master/csl-citation.json"}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Tyas Amalia, “Model Manajemen Konflik Pernikahan Beda Agama Dalam Pemikiran Ahmad Nurcholish,” </w:t>
      </w:r>
      <w:r w:rsidRPr="00FF02D2">
        <w:rPr>
          <w:rFonts w:ascii="Garamond" w:hAnsi="Garamond"/>
          <w:i/>
          <w:noProof/>
        </w:rPr>
        <w:t>Jurnal Sosiologi Agama</w:t>
      </w:r>
      <w:r w:rsidRPr="00FF02D2">
        <w:rPr>
          <w:rFonts w:ascii="Garamond" w:hAnsi="Garamond"/>
          <w:noProof/>
        </w:rPr>
        <w:t xml:space="preserve"> 12, no. 1 (2018): 1, https://doi.org/10.14421/jsa.2018.121-01.</w:t>
      </w:r>
      <w:r w:rsidRPr="00FF02D2">
        <w:rPr>
          <w:rFonts w:ascii="Garamond" w:hAnsi="Garamond"/>
        </w:rPr>
        <w:fldChar w:fldCharType="end"/>
      </w:r>
    </w:p>
  </w:footnote>
  <w:footnote w:id="15">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{"citationItems":[{"id":"ITEM-1","itemData":{"author":[{"dropping-particle":"","family":"Pengadilan Negeri Pati","given":"","non-dropping-particle":"","parse-names":false,"suffix":""}],"id":"ITEM-1","issued":{"date-parts":[["2020"]]},"title":"Direktori Putusan Mahkamah Agung","type":"legislation"},"uris":["http://www.mendeley.com/documents/?uuid=90bc3749-876f-372a-850a-3d441df0f52d"]}],"mendeley":{"formattedCitation":"Pengadilan Negeri Pati, Direktori Putusan Mahkamah Agung.","plainTextFormattedCitation":"Pengadilan Negeri Pati, Direktori Putusan Mahkamah Agung.","previouslyFormattedCitation":"Pengadilan Negeri Pati, Direktori Putusan Mahkamah Agung."},"properties":{"noteIndex":15},"schema":"https://github.com/citation-style-language/schema/raw/master/csl-citation.json"}</w:instrText>
      </w:r>
      <w:r w:rsidRPr="00FF02D2">
        <w:rPr>
          <w:rFonts w:ascii="Garamond" w:hAnsi="Garamond"/>
        </w:rPr>
        <w:fldChar w:fldCharType="separate"/>
      </w:r>
      <w:r w:rsidRPr="00FF02D2">
        <w:rPr>
          <w:rFonts w:ascii="Garamond" w:hAnsi="Garamond"/>
          <w:noProof/>
        </w:rPr>
        <w:t>Pengadilan Negeri Pati, Direktori Putusan Mahkamah Agung.</w:t>
      </w:r>
      <w:r w:rsidRPr="00FF02D2">
        <w:rPr>
          <w:rFonts w:ascii="Garamond" w:hAnsi="Garamond"/>
        </w:rPr>
        <w:fldChar w:fldCharType="end"/>
      </w:r>
    </w:p>
  </w:footnote>
  <w:footnote w:id="16">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{"citationItems":[{"id":"ITEM-1","itemData":{"id":"ITEM-1","issued":{"date-parts":[["2022"]]},"title":"Direktori Putusan Mahkmah Agung","type":"legislation"},"uris":["http://www.mendeley.com/documents/?uuid=b82760a0-3b89-3ff3-9b8b-cfa4eed8ff75"]}],"mendeley":{"formattedCitation":"Direktori Putusan Mahkmah Agung.","plainTextFormattedCitation":"Direktori Putusan Mahkmah Agung.","previouslyFormattedCitation":"Direktori Putusan Mahkmah Agung."},"properties":{"noteIndex":16},"schema":"https://github.com/citation-style-language/schema/raw/master/csl-citation.json"}</w:instrText>
      </w:r>
      <w:r w:rsidRPr="00FF02D2">
        <w:rPr>
          <w:rFonts w:ascii="Garamond" w:hAnsi="Garamond"/>
        </w:rPr>
        <w:fldChar w:fldCharType="separate"/>
      </w:r>
      <w:r w:rsidRPr="00FF02D2">
        <w:rPr>
          <w:rFonts w:ascii="Garamond" w:hAnsi="Garamond"/>
          <w:noProof/>
        </w:rPr>
        <w:t>Direktori Putusan Mahkmah Agung.</w:t>
      </w:r>
      <w:r w:rsidRPr="00FF02D2">
        <w:rPr>
          <w:rFonts w:ascii="Garamond" w:hAnsi="Garamond"/>
        </w:rPr>
        <w:fldChar w:fldCharType="end"/>
      </w:r>
    </w:p>
  </w:footnote>
  <w:footnote w:id="17">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uthor":[{"dropping-particle":"","family":"Jurdi","given":"Fajlurrahman","non-dropping-particle":"","parse-names":false,"suffix":""}],"edition":"2","id":"ITEM-1","issued":{"date-parts":[["2019"]]},"publisher":"Kencana","publisher-place":"Jakarta","title":"Logika Hukum","type":"book"},"uris":["http://www.mendeley.com/documents/?uuid=7cca8844-1c0e-4053-8bde-9273b230b838"]}],"mendeley":{"formattedCitation":"Fajlurrahman Jurdi, &lt;i&gt;Logika Hukum&lt;/i&gt;, 2nd ed. (Jakarta: Kencana, 2019).","plainTextFormattedCitation":"Fajlurrahman Jurdi, Logika Hukum, 2nd ed. (Jakarta: Kencana, 2019).","previouslyFormattedCitation":"Fajlurrahman Jurdi, &lt;i&gt;Logika Hukum&lt;/i&gt;, 2nd ed. (Jakarta: Kencana, 2019)."},"properties":{"noteIndex":17},"schema":"https://github.com/citation-style-language/schema/raw/master/csl-citation.json"}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Fajlurrahman Jurdi, </w:t>
      </w:r>
      <w:r w:rsidRPr="00FF02D2">
        <w:rPr>
          <w:rFonts w:ascii="Garamond" w:hAnsi="Garamond"/>
          <w:i/>
          <w:noProof/>
        </w:rPr>
        <w:t>Logika Hukum</w:t>
      </w:r>
      <w:r w:rsidRPr="00FF02D2">
        <w:rPr>
          <w:rFonts w:ascii="Garamond" w:hAnsi="Garamond"/>
          <w:noProof/>
        </w:rPr>
        <w:t>, 2nd ed. (Jakarta: Kencana, 2019).</w:t>
      </w:r>
      <w:r w:rsidRPr="00FF02D2">
        <w:rPr>
          <w:rFonts w:ascii="Garamond" w:hAnsi="Garamond"/>
        </w:rPr>
        <w:fldChar w:fldCharType="end"/>
      </w:r>
    </w:p>
  </w:footnote>
  <w:footnote w:id="18">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{"citationItems":[{"id":"ITEM-1","itemData":{"ISSN":"2579-3071","abstract":"This study aims to assess the role of legal logic in interpreting the law to achieve a fairer legal process&amp;nbsp; law enforcement &amp;nbsp;and &amp;nbsp;beneficial to society. To obtain the materials needed, this research uses normative research approach to the laws (statute aproach). The results showed Logic law or legal reasoning as a method or system in order to process&amp;nbsp; law enforcement or legal decision making based on the interpretation of the law due to the vagueness of the law went so well that the purpose of the law to achieve legal certainty, fairness and expediency can be achieved. Decision making legal and law enforcement done arbitrarily, not through rationalization correct and did not use a coherent legal interpretation, will make a breakthrough law will be the law of accident.","author":[{"dropping-particle":"","family":"Vera","given":"Ni Luh Putu","non-dropping-particle":"","parse-names":false,"suffix":""},{"dropping-particle":"","family":"Ainuddin","given":"Nurul","non-dropping-particle":"","parse-names":false,"suffix":""}],"container-title":"Jatiswara","id":"ITEM-1","issue":"1","issued":{"date-parts":[["2016"]]},"page":"99-110","title":"Logika Hukum Dan Terobosan Hukum Melalui Legal Reasoning","type":"article-journal","volume":"31"},"uris":["http://www.mendeley.com/documents/?uuid=4a23ca0b-4c13-3213-bb7c-b2657fdfd77a"]}],"mendeley":{"formattedCitation":"Ni Luh Putu Vera and Nurul Ainuddin, “Logika Hukum Dan Terobosan Hukum Melalui Legal Reasoning,” &lt;i&gt;Jatiswara&lt;/i&gt; 31, no. 1 (2016): 99–110, http://www.jatiswara.unram.ac.id/index.php/js/article/view/36.","plainTextFormattedCitation":"Ni Luh Putu Vera and Nurul Ainuddin, “Logika Hukum Dan Terobosan Hukum Melalui Legal Reasoning,” Jatiswara 31, no. 1 (2016): 99–110, http://www.jatiswara.unram.ac.id/index.php/js/article/view/36.","previouslyFormattedCitation":"Ni Luh Putu Vera and Nurul Ainuddin, “Logika Hukum Dan Terobosan Hukum Melalui Legal Reasoning,” &lt;i&gt;Jatiswara&lt;/i&gt; 31, no. 1 (2016): 99–110, http://www.jatiswara.unram.ac.id/index.php/js/article/view/36."},"properties":{"noteIndex":18},"schema":"https://github.com/citation-style-language/schema/raw/master/csl-citation.json"}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Ni Luh Putu Vera and Nurul Ainuddin, “Logika Hukum Dan Terobosan Hukum Melalui Legal Reasoning,” </w:t>
      </w:r>
      <w:r w:rsidRPr="00FF02D2">
        <w:rPr>
          <w:rFonts w:ascii="Garamond" w:hAnsi="Garamond"/>
          <w:i/>
          <w:noProof/>
        </w:rPr>
        <w:t>Jatiswara</w:t>
      </w:r>
      <w:r w:rsidRPr="00FF02D2">
        <w:rPr>
          <w:rFonts w:ascii="Garamond" w:hAnsi="Garamond"/>
          <w:noProof/>
        </w:rPr>
        <w:t xml:space="preserve"> 31, no. 1 (2016): 99–110, http://www.jatiswara.unram.ac.id/index.php/js/article/view/36.</w:t>
      </w:r>
      <w:r w:rsidRPr="00FF02D2">
        <w:rPr>
          <w:rFonts w:ascii="Garamond" w:hAnsi="Garamond"/>
        </w:rPr>
        <w:fldChar w:fldCharType="end"/>
      </w:r>
    </w:p>
  </w:footnote>
  <w:footnote w:id="19">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{"citationItems":[{"id":"ITEM-1","itemData":{"DOI":"10.31078/JK1427","ISSN":"2548-1657","abstract":"Dewasa ini pemahaman dan pengetahuan tentang logika, penalaran, dan argumentasi hukum semakin dibutuhkan tidak hanya bagi kalangan akademisi dalam bidang filsafat dan hukum melainkan terutama bagi para praktisi hukum seperti polisi, hakim, jaksa, pengacara, bahkan seluruh anggota masyarakat yang setiap hari berhadapan dengan persoalan-persoalan hukum. Sebagai bagian dari penalaran pada umumnya, penalaran hukum, meskipun memiliki sejumlah karakteristik yang berbeda, terikat pada kaidah-kaidah penalaran yang tepat seperti hukum-hukum berpikir, hukum-hukum silogisme, ketentuan tentang probabilitas induksi, dan kesesatan informal penalaran. Maka penalaran hukum bukahlah jenis penalaran yang berbeda dan terpisah dari logika sebagai ilmu tentang bagaimana berpikir secara tepat (sebagai salah satu cabang filsafat) melainkan bagaimana menerapkan kaidah-kaidah berpikir menurut ketentuan logika dalam bidang hukum. Artikel ini membahas kaidah-kaidah berpikir silogisme dan induksi. Aplikasi penalaran deduktif dan induksif dalam hukum dengan model IRAC (Issue, Rule, Argument, dan Conclusion) akan mengakhiri artikel ini.","author":[{"dropping-particle":"","family":"Weruin","given":"Urbanus Ura","non-dropping-particle":"","parse-names":false,"suffix":""}],"container-title":"Jurnal Konstitusi","id":"ITEM-1","issue":"2","issued":{"date-parts":[["2017","11","2"]]},"page":"374-395","publisher":"Constitutional Court of the Republic of Indonesia","title":"Logika, Penalaran, dan Argumentasi Hukum","type":"article-journal","volume":"14"},"uris":["http://www.mendeley.com/documents/?uuid=d40a6db0-9e7e-3a4d-9891-d89e982cf0bf"]}],"mendeley":{"formattedCitation":"Urbanus Ura Weruin, “Logika, Penalaran, Dan Argumentasi Hukum,” &lt;i&gt;Jurnal Konstitusi&lt;/i&gt; 14, no. 2 (November 2, 2017): 374–95, https://doi.org/10.31078/JK1427.","plainTextFormattedCitation":"Urbanus Ura Weruin, “Logika, Penalaran, Dan Argumentasi Hukum,” Jurnal Konstitusi 14, no. 2 (November 2, 2017): 374–95, https://doi.org/10.31078/JK1427.","previouslyFormattedCitation":"Urbanus Ura Weruin, “Logika, Penalaran, Dan Argumentasi Hukum,” &lt;i&gt;Jurnal Konstitusi&lt;/i&gt; 14, no. 2 (November 2, 2017): 374–95, https://doi.org/10.31078/JK1427."},"properties":{"noteIndex":19},"schema":"https://github.com/citation-style-language/schema/raw/master/csl-citation.json"}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Urbanus Ura Weruin, “Logika, Penalaran, Dan Argumentasi Hukum,” </w:t>
      </w:r>
      <w:r w:rsidRPr="00FF02D2">
        <w:rPr>
          <w:rFonts w:ascii="Garamond" w:hAnsi="Garamond"/>
          <w:i/>
          <w:noProof/>
        </w:rPr>
        <w:t>Jurnal Konstitusi</w:t>
      </w:r>
      <w:r w:rsidRPr="00FF02D2">
        <w:rPr>
          <w:rFonts w:ascii="Garamond" w:hAnsi="Garamond"/>
          <w:noProof/>
        </w:rPr>
        <w:t xml:space="preserve"> 14, no. 2 (November 2, 2017): 374–95, https://doi.org/10.31078/JK1427.</w:t>
      </w:r>
      <w:r w:rsidRPr="00FF02D2">
        <w:rPr>
          <w:rFonts w:ascii="Garamond" w:hAnsi="Garamond"/>
        </w:rPr>
        <w:fldChar w:fldCharType="end"/>
      </w:r>
    </w:p>
  </w:footnote>
  <w:footnote w:id="20">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author":[{"dropping-particle":"","family":"Jurdi","given":"Fajlurrahman","non-dropping-particle":"","parse-names":false,"suffix":""}],"edition":"2","id":"ITEM-1","issued":{"date-parts":[["2019"]]},"publisher":"Kencana","publisher-place":"Jakarta","title":"Logika Hukum","type":"book"},"uris":["http://www.mendeley.com/documents/?uuid=7cca8844-1c0e-4053-8bde-9273b230b838"]}],"mendeley":{"formattedCitation":"Jurdi, &lt;i&gt;Logika Hukum&lt;/i&gt;.","plainTextFormattedCitation":"Jurdi, Logika Hukum.","previouslyFormattedCitation":"Jurdi, &lt;i&gt;Logika Hukum&lt;/i&gt;."},"properties":{"noteIndex":20},"schema":"https://github.com/citation-style-language/schema/raw/master/csl-citation.json"}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Jurdi, </w:t>
      </w:r>
      <w:r w:rsidRPr="00FF02D2">
        <w:rPr>
          <w:rFonts w:ascii="Garamond" w:hAnsi="Garamond"/>
          <w:i/>
          <w:noProof/>
        </w:rPr>
        <w:t>Logika Hukum</w:t>
      </w:r>
      <w:r w:rsidRPr="00FF02D2">
        <w:rPr>
          <w:rFonts w:ascii="Garamond" w:hAnsi="Garamond"/>
          <w:noProof/>
        </w:rPr>
        <w:t>.</w:t>
      </w:r>
      <w:r w:rsidRPr="00FF02D2">
        <w:rPr>
          <w:rFonts w:ascii="Garamond" w:hAnsi="Garamond"/>
        </w:rPr>
        <w:fldChar w:fldCharType="end"/>
      </w:r>
    </w:p>
  </w:footnote>
  <w:footnote w:id="21">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{"citationItems":[{"id":"ITEM-1","itemData":{"DOI":"10.31078/JK1427","ISSN":"2548-1657","abstract":"Dewasa ini pemahaman dan pengetahuan tentang logika, penalaran, dan argumentasi hukum semakin dibutuhkan tidak hanya bagi kalangan akademisi dalam bidang filsafat dan hukum melainkan terutama bagi para praktisi hukum seperti polisi, hakim, jaksa, pengacara, bahkan seluruh anggota masyarakat yang setiap hari berhadapan dengan persoalan-persoalan hukum. Sebagai bagian dari penalaran pada umumnya, penalaran hukum, meskipun memiliki sejumlah karakteristik yang berbeda, terikat pada kaidah-kaidah penalaran yang tepat seperti hukum-hukum berpikir, hukum-hukum silogisme, ketentuan tentang probabilitas induksi, dan kesesatan informal penalaran. Maka penalaran hukum bukahlah jenis penalaran yang berbeda dan terpisah dari logika sebagai ilmu tentang bagaimana berpikir secara tepat (sebagai salah satu cabang filsafat) melainkan bagaimana menerapkan kaidah-kaidah berpikir menurut ketentuan logika dalam bidang hukum. Artikel ini membahas kaidah-kaidah berpikir silogisme dan induksi. Aplikasi penalaran deduktif dan induksif dalam hukum dengan model IRAC (Issue, Rule, Argument, dan Conclusion) akan mengakhiri artikel ini.","author":[{"dropping-particle":"","family":"Weruin","given":"Urbanus Ura","non-dropping-particle":"","parse-names":false,"suffix":""}],"container-title":"Jurnal Konstitusi","id":"ITEM-1","issue":"2","issued":{"date-parts":[["2017","11","2"]]},"page":"374-395","publisher":"Constitutional Court of the Republic of Indonesia","title":"Logika, Penalaran, dan Argumentasi Hukum","type":"article-journal","volume":"14"},"uris":["http://www.mendeley.com/documents/?uuid=d40a6db0-9e7e-3a4d-9891-d89e982cf0bf"]}],"mendeley":{"formattedCitation":"Weruin, “Logika, Penalaran, Dan Argumentasi Hukum.”","plainTextFormattedCitation":"Weruin, “Logika, Penalaran, Dan Argumentasi Hukum.”","previouslyFormattedCitation":"Weruin, “Logika, Penalaran, Dan Argumentasi Hukum.”"},"properties":{"noteIndex":21},"schema":"https://github.com/citation-style-language/schema/raw/master/csl-citation.json"}</w:instrText>
      </w:r>
      <w:r w:rsidRPr="00FF02D2">
        <w:rPr>
          <w:rFonts w:ascii="Garamond" w:hAnsi="Garamond"/>
        </w:rPr>
        <w:fldChar w:fldCharType="separate"/>
      </w:r>
      <w:r w:rsidRPr="00FF02D2">
        <w:rPr>
          <w:rFonts w:ascii="Garamond" w:hAnsi="Garamond"/>
          <w:noProof/>
        </w:rPr>
        <w:t>Weruin, “Logika, Penalaran, Dan Argumentasi Hukum.”</w:t>
      </w:r>
      <w:r w:rsidRPr="00FF02D2">
        <w:rPr>
          <w:rFonts w:ascii="Garamond" w:hAnsi="Garamond"/>
        </w:rPr>
        <w:fldChar w:fldCharType="end"/>
      </w:r>
    </w:p>
  </w:footnote>
  <w:footnote w:id="22">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{"citationItems":[{"id":"ITEM-1","itemData":{"ISSN":"2580-5096","author":[{"dropping-particle":"","family":"Isnantiana","given":"Nur Iftitah","non-dropping-particle":"","parse-names":false,"suffix":""}],"container-title":"Islamadina: Jurnal Pemikiran Islam","id":"ITEM-1","issue":"2","issued":{"date-parts":[["2017"]]},"page":"41-56","title":"Legal Reasoning Hakim dalam Pengambilan Putusan Perkara di Pengadilan","type":"article-journal","volume":"18"},"uris":["http://www.mendeley.com/documents/?uuid=d2068f15-99de-455e-aa51-2bb949fe4052"]}],"mendeley":{"formattedCitation":"Nur Iftitah Isnantiana, “Legal Reasoning Hakim Dalam Pengambilan Putusan Perkara Di Pengadilan,” &lt;i&gt;Islamadina: Jurnal Pemikiran Islam&lt;/i&gt; 18, no. 2 (2017): 41–56.","plainTextFormattedCitation":"Nur Iftitah Isnantiana, “Legal Reasoning Hakim Dalam Pengambilan Putusan Perkara Di Pengadilan,” Islamadina: Jurnal Pemikiran Islam 18, no. 2 (2017): 41–56.","previouslyFormattedCitation":"Nur Iftitah Isnantiana, “Legal Reasoning Hakim Dalam Pengambilan Putusan Perkara Di Pengadilan,” &lt;i&gt;Islamadina: Jurnal Pemikiran Islam&lt;/i&gt; 18, no. 2 (2017): 41–56."},"properties":{"noteIndex":22},"schema":"https://github.com/citation-style-language/schema/raw/master/csl-citation.json"}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Nur Iftitah Isnantiana, “Legal Reasoning Hakim Dalam Pengambilan Putusan Perkara Di Pengadilan,” </w:t>
      </w:r>
      <w:r w:rsidRPr="00FF02D2">
        <w:rPr>
          <w:rFonts w:ascii="Garamond" w:hAnsi="Garamond"/>
          <w:i/>
          <w:noProof/>
        </w:rPr>
        <w:t>Islamadina: Jurnal Pemikiran Islam</w:t>
      </w:r>
      <w:r w:rsidRPr="00FF02D2">
        <w:rPr>
          <w:rFonts w:ascii="Garamond" w:hAnsi="Garamond"/>
          <w:noProof/>
        </w:rPr>
        <w:t xml:space="preserve"> 18, no. 2 (2017): 41–56.</w:t>
      </w:r>
      <w:r w:rsidRPr="00FF02D2">
        <w:rPr>
          <w:rFonts w:ascii="Garamond" w:hAnsi="Garamond"/>
        </w:rPr>
        <w:fldChar w:fldCharType="end"/>
      </w:r>
    </w:p>
  </w:footnote>
  <w:footnote w:id="23">
    <w:p w:rsidR="00234EA8" w:rsidRPr="00FF02D2" w:rsidRDefault="00234EA8"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{"citationItems":[{"id":"ITEM-1","itemData":{"DOI":"10.35194/JHMJ.V3I2.257","ISSN":"2580-0906","abstract":"On the activity of legal reasoning, legal objective embodiment in the form of: justice, legal certainty, and kemanfaaan sometimes not achieved proportionately or even forgot or did not understand that the purpose of law should be the third contained proportionally in any legal ruling.  The third objective will be achieved proportionately, by finding the point of the link between the reasoning of the law with the purpose of the law, the law of nature and the methods used to achieve the third objective of the law.    The research was carried out using the method of legal research is research that is interdisciplinary collaboration and integration of the disciplines of law and other disciplines, which in this case is a philosophy.  This research is a study of the legal reasoning of how capable of realizing justice, legal certainty and benefit proportionately.  Therefore the examined was how the point links between legal reasoning with the purpose of the law, as well as what is the meaning of the law (the ontological aspect) and what is the method to achieve it (epistemological aspect).    Research proves that there is a link between the point of law raised by Gustav Radbruch, namely: justice, legal certainty, and the benefit with the aksiologis of models of legal reasoning advanced by Shidarta.  With regard to the activity of the legal reasoning that is capable of realizing justice, legal certainty, and benefit proportionally; found that all the arguments of yuridik which is a legal ruling made by establishing practical law was supposed to interpret the law as positive norms within the system of legislation that pay attention to the principles of truth and justice universal or moral, the behavioral pattern of the terlembaga, and the symbolic meanings of social actors.    Whereas the epistemological aspects of the law which is its method is deductive reasoning patterns doctrinal-in order to be empowered in order to achieve legal certainty and fairness as well as simultaneously using inductive reasoning patterns nondoktrinal-so are empowered to achieve benefit.  The pattern of reasoning is identical with the model of thought problematic tersistematisasi.            Keywords   : Law, Proportional Reasoning, the purpose of the law.","author":[{"dropping-particle":"","family":"Setiawan","given":"Agus","non-dropping-particle":"","parse-names":false,"suffix":""}],"container-title":"Jurnal Hukum Mimbar Justitia","id":"ITEM-1","issue":"2","issued":{"date-parts":[["2017","12","30"]]},"page":"204-215","publisher":"Universitas Suryakancana","title":"PENALARAN HUKUM YANG MAMPU MEWUJUDKAN TUJUAN HUKUM SECARA PROPORSIONAL","type":"article-journal","volume":"3"},"uris":["http://www.mendeley.com/documents/?uuid=c44f90e7-d218-3286-992f-dd1707102d81"]}],"mendeley":{"formattedCitation":"Agus Setiawan, “PENALARAN HUKUM YANG MAMPU MEWUJUDKAN TUJUAN HUKUM SECARA PROPORSIONAL,” &lt;i&gt;Jurnal Hukum Mimbar Justitia&lt;/i&gt; 3, no. 2 (December 30, 2017): 204–15, https://doi.org/10.35194/JHMJ.V3I2.257.","plainTextFormattedCitation":"Agus Setiawan, “PENALARAN HUKUM YANG MAMPU MEWUJUDKAN TUJUAN HUKUM SECARA PROPORSIONAL,” Jurnal Hukum Mimbar Justitia 3, no. 2 (December 30, 2017): 204–15, https://doi.org/10.35194/JHMJ.V3I2.257.","previouslyFormattedCitation":"Agus Setiawan, “PENALARAN HUKUM YANG MAMPU MEWUJUDKAN TUJUAN HUKUM SECARA PROPORSIONAL,” &lt;i&gt;Jurnal Hukum Mimbar Justitia&lt;/i&gt; 3, no. 2 (December 30, 2017): 204–15, https://doi.org/10.35194/JHMJ.V3I2.257."},"properties":{"noteIndex":23},"schema":"https://github.com/citation-style-language/schema/raw/master/csl-citation.json"}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Agus Setiawan, “PENALARAN HUKUM YANG MAMPU MEWUJUDKAN TUJUAN HUKUM SECARA PROPORSIONAL,” </w:t>
      </w:r>
      <w:r w:rsidRPr="00FF02D2">
        <w:rPr>
          <w:rFonts w:ascii="Garamond" w:hAnsi="Garamond"/>
          <w:i/>
          <w:noProof/>
        </w:rPr>
        <w:t>Jurnal Hukum Mimbar Justitia</w:t>
      </w:r>
      <w:r w:rsidRPr="00FF02D2">
        <w:rPr>
          <w:rFonts w:ascii="Garamond" w:hAnsi="Garamond"/>
          <w:noProof/>
        </w:rPr>
        <w:t xml:space="preserve"> 3, no. 2 (December 30, 2017): 204–15, https://doi.org/10.35194/JHMJ.V3I2.257.</w:t>
      </w:r>
      <w:r w:rsidRPr="00FF02D2">
        <w:rPr>
          <w:rFonts w:ascii="Garamond" w:hAnsi="Garamond"/>
        </w:rPr>
        <w:fldChar w:fldCharType="end"/>
      </w:r>
    </w:p>
  </w:footnote>
  <w:footnote w:id="24">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{"citationItems":[{"id":"ITEM-1","itemData":{"DOI":"10.54367/LOGOS.V15I2.319","ISSN":"2776-7485","abstract":"Falling in love is the most phenomenal event in the history of human being.Discussion of falling in love is never finished talking about it. When lovers arefalling in love, they long for a perfect happiness in their heart. The onlypossibility to achieve this happiness is that the lovers live together as amanifestation of the unity of love. This union that is lived by them is expectedto take place in eternity. In the experience of falling in love, a couple of humanbeing, as if, live â€œacross this worldâ€</w:instrText>
      </w:r>
      <w:r w:rsidR="008D1526" w:rsidRPr="00FF02D2">
        <w:rPr>
          <w:rFonts w:ascii="Garamond" w:hAnsi="Garamond" w:cs="Garamond"/>
        </w:rPr>
        <w:instrText></w:instrText>
      </w:r>
      <w:r w:rsidR="008D1526" w:rsidRPr="00FF02D2">
        <w:rPr>
          <w:rFonts w:ascii="Garamond" w:hAnsi="Garamond"/>
        </w:rPr>
        <w:instrText xml:space="preserve"> in which they are tasting the divine life intotal happiness, perfect unity, and eternal life. Actually, the total happiness isexperienced as a partial happiness. This has the effect that the perfect unity isonly a dream because the unity is experienced in its imperfection. Furthermore,the eternity of love is only a romantic love in changing continuously. It is theexperience bringing falling in love with its serious problems. However, thosewho fall in love are really human beings who are still in their limitations.","author":[{"dropping-particle":"","family":"Gunawan","given":"Leo Agung Srie","non-dropping-particle":"","parse-names":false,"suffix":""}],"container-title":"LOGOS","id":"ITEM-1","issue":"2","issued":{"date-parts":[["2018","4","11"]]},"page":"1-30","publisher":"Universitas Katolik Santo Thomas","title":"PROBLEMATIKA JATUH CINTA : Sebuah Tinjuan Filosofis","type":"article-journal","volume":"15"},"uris":["http://www.mendeley.com/documents/?uuid=b784159c-dca6-3709-8498-42693055e0ae"]}],"mendeley":{"formattedCitation":"Leo Agung Srie Gunawan, “PROBLEMATIKA JATUH CINTA</w:instrText>
      </w:r>
      <w:r w:rsidR="008D1526" w:rsidRPr="00FF02D2">
        <w:rPr>
          <w:rFonts w:ascii="Times New Roman" w:hAnsi="Times New Roman" w:cs="Times New Roman"/>
        </w:rPr>
        <w:instrText> </w:instrText>
      </w:r>
      <w:r w:rsidR="008D1526" w:rsidRPr="00FF02D2">
        <w:rPr>
          <w:rFonts w:ascii="Garamond" w:hAnsi="Garamond"/>
        </w:rPr>
        <w:instrText>: Sebuah Tinjuan Filosofis,</w:instrText>
      </w:r>
      <w:r w:rsidR="008D1526" w:rsidRPr="00FF02D2">
        <w:rPr>
          <w:rFonts w:ascii="Garamond" w:hAnsi="Garamond" w:cs="Garamond"/>
        </w:rPr>
        <w:instrText>”</w:instrText>
      </w:r>
      <w:r w:rsidR="008D1526" w:rsidRPr="00FF02D2">
        <w:rPr>
          <w:rFonts w:ascii="Garamond" w:hAnsi="Garamond"/>
        </w:rPr>
        <w:instrText xml:space="preserve"> &lt;i&gt;LOGOS&lt;/i&gt; 15, no. 2 (April 11, 2018): 1</w:instrText>
      </w:r>
      <w:r w:rsidR="008D1526" w:rsidRPr="00FF02D2">
        <w:rPr>
          <w:rFonts w:ascii="Garamond" w:hAnsi="Garamond" w:cs="Garamond"/>
        </w:rPr>
        <w:instrText>–</w:instrText>
      </w:r>
      <w:r w:rsidR="008D1526" w:rsidRPr="00FF02D2">
        <w:rPr>
          <w:rFonts w:ascii="Garamond" w:hAnsi="Garamond"/>
        </w:rPr>
        <w:instrText>30, https://doi.org/10.54367/LOGOS.V15I2.319.","plainTextFormattedCitation":"Leo Agung Srie Gunawan, “PROBLEMATIKA JATUH CINTA</w:instrText>
      </w:r>
      <w:r w:rsidR="008D1526" w:rsidRPr="00FF02D2">
        <w:rPr>
          <w:rFonts w:ascii="Times New Roman" w:hAnsi="Times New Roman" w:cs="Times New Roman"/>
        </w:rPr>
        <w:instrText> </w:instrText>
      </w:r>
      <w:r w:rsidR="008D1526" w:rsidRPr="00FF02D2">
        <w:rPr>
          <w:rFonts w:ascii="Garamond" w:hAnsi="Garamond"/>
        </w:rPr>
        <w:instrText>: Sebuah Tinjuan Filosofis,</w:instrText>
      </w:r>
      <w:r w:rsidR="008D1526" w:rsidRPr="00FF02D2">
        <w:rPr>
          <w:rFonts w:ascii="Garamond" w:hAnsi="Garamond" w:cs="Garamond"/>
        </w:rPr>
        <w:instrText>”</w:instrText>
      </w:r>
      <w:r w:rsidR="008D1526" w:rsidRPr="00FF02D2">
        <w:rPr>
          <w:rFonts w:ascii="Garamond" w:hAnsi="Garamond"/>
        </w:rPr>
        <w:instrText xml:space="preserve"> LOGOS 15, no. 2 (April 11, 2018): 1</w:instrText>
      </w:r>
      <w:r w:rsidR="008D1526" w:rsidRPr="00FF02D2">
        <w:rPr>
          <w:rFonts w:ascii="Garamond" w:hAnsi="Garamond" w:cs="Garamond"/>
        </w:rPr>
        <w:instrText>–</w:instrText>
      </w:r>
      <w:r w:rsidR="008D1526" w:rsidRPr="00FF02D2">
        <w:rPr>
          <w:rFonts w:ascii="Garamond" w:hAnsi="Garamond"/>
        </w:rPr>
        <w:instrText xml:space="preserve">30, https://doi.org/10.54367/LOGOS.V15I2.319.","previouslyFormattedCitation":"Leo Agung Srie Gunawan, </w:instrText>
      </w:r>
      <w:r w:rsidR="008D1526" w:rsidRPr="00FF02D2">
        <w:rPr>
          <w:rFonts w:ascii="Garamond" w:hAnsi="Garamond" w:cs="Garamond"/>
        </w:rPr>
        <w:instrText>“</w:instrText>
      </w:r>
      <w:r w:rsidR="008D1526" w:rsidRPr="00FF02D2">
        <w:rPr>
          <w:rFonts w:ascii="Garamond" w:hAnsi="Garamond"/>
        </w:rPr>
        <w:instrText>PROBLEMATIKA JATUH CINTA</w:instrText>
      </w:r>
      <w:r w:rsidR="008D1526" w:rsidRPr="00FF02D2">
        <w:rPr>
          <w:rFonts w:ascii="Times New Roman" w:hAnsi="Times New Roman" w:cs="Times New Roman"/>
        </w:rPr>
        <w:instrText> </w:instrText>
      </w:r>
      <w:r w:rsidR="008D1526" w:rsidRPr="00FF02D2">
        <w:rPr>
          <w:rFonts w:ascii="Garamond" w:hAnsi="Garamond"/>
        </w:rPr>
        <w:instrText>: Sebuah Tinjuan Filosofis,” &lt;i&gt;LOGOS&lt;/i&gt; 15, no. 2 (April 11, 2018): 1–30, https://doi.org/10.54367/LOGOS.V15I2.319."},"properties":{"noteIndex":24},"schema":"https://github.com/citation-style-language/schema/raw/master/csl-citation.json"}</w:instrText>
      </w:r>
      <w:r w:rsidRPr="00FF02D2">
        <w:rPr>
          <w:rFonts w:ascii="Garamond" w:hAnsi="Garamond"/>
        </w:rPr>
        <w:fldChar w:fldCharType="separate"/>
      </w:r>
      <w:r w:rsidRPr="00FF02D2">
        <w:rPr>
          <w:rFonts w:ascii="Garamond" w:hAnsi="Garamond"/>
          <w:noProof/>
        </w:rPr>
        <w:t>Leo Agung Srie Gunawan, “PROBLEMATIKA JATUH CINTA</w:t>
      </w:r>
      <w:r w:rsidRPr="00FF02D2">
        <w:rPr>
          <w:rFonts w:ascii="Times New Roman" w:hAnsi="Times New Roman" w:cs="Times New Roman"/>
          <w:noProof/>
        </w:rPr>
        <w:t> </w:t>
      </w:r>
      <w:r w:rsidRPr="00FF02D2">
        <w:rPr>
          <w:rFonts w:ascii="Garamond" w:hAnsi="Garamond"/>
          <w:noProof/>
        </w:rPr>
        <w:t>: Sebuah Tinjuan Filosofis,</w:t>
      </w:r>
      <w:r w:rsidRPr="00FF02D2">
        <w:rPr>
          <w:rFonts w:ascii="Garamond" w:hAnsi="Garamond" w:cs="Garamond"/>
          <w:noProof/>
        </w:rPr>
        <w:t>”</w:t>
      </w:r>
      <w:r w:rsidRPr="00FF02D2">
        <w:rPr>
          <w:rFonts w:ascii="Garamond" w:hAnsi="Garamond"/>
          <w:noProof/>
        </w:rPr>
        <w:t xml:space="preserve"> </w:t>
      </w:r>
      <w:r w:rsidRPr="00FF02D2">
        <w:rPr>
          <w:rFonts w:ascii="Garamond" w:hAnsi="Garamond"/>
          <w:i/>
          <w:noProof/>
        </w:rPr>
        <w:t>LOGOS</w:t>
      </w:r>
      <w:r w:rsidRPr="00FF02D2">
        <w:rPr>
          <w:rFonts w:ascii="Garamond" w:hAnsi="Garamond"/>
          <w:noProof/>
        </w:rPr>
        <w:t xml:space="preserve"> 15, no. 2 (April 11, 2018): 1–30, https://doi.org/10.54367/LOGOS.V15I2.319.</w:t>
      </w:r>
      <w:r w:rsidRPr="00FF02D2">
        <w:rPr>
          <w:rFonts w:ascii="Garamond" w:hAnsi="Garamond"/>
        </w:rPr>
        <w:fldChar w:fldCharType="end"/>
      </w:r>
    </w:p>
  </w:footnote>
  <w:footnote w:id="25">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{"citationItems":[{"id":"ITEM-1","itemData":{"ISBN":"6239254916","author":[{"dropping-particle":"","family":"Yunus","given":"Ahyuni","non-dropping-particle":"","parse-names":false,"suffix":""}],"id":"ITEM-1","issued":{"date-parts":[["2020"]]},"publisher":"Humanities Genius","title":"Hukum Perkawinan dan Itsbat Nikah: Antara Perlindungan dan Kepastian Hukum","type":"book"},"uris":["http://www.mendeley.com/documents/?uuid=52b8735e-c03b-4059-996e-584b0ce344dc"]}],"mendeley":{"formattedCitation":"Ahyuni Yunus, &lt;i&gt;Hukum Perkawinan Dan Itsbat Nikah: Antara Perlindungan Dan Kepastian Hukum&lt;/i&gt; (Humanities Genius, 2020).","plainTextFormattedCitation":"Ahyuni Yunus, Hukum Perkawinan Dan Itsbat Nikah: Antara Perlindungan Dan Kepastian Hukum (Humanities Genius, 2020).","previouslyFormattedCitation":"Ahyuni Yunus, &lt;i&gt;Hukum Perkawinan Dan Itsbat Nikah: Antara Perlindungan Dan Kepastian Hukum&lt;/i&gt; (Humanities Genius, 2020)."},"properties":{"noteIndex":25},"schema":"https://github.com/citation-style-language/schema/raw/master/csl-citation.json"}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Ahyuni Yunus, </w:t>
      </w:r>
      <w:r w:rsidRPr="00FF02D2">
        <w:rPr>
          <w:rFonts w:ascii="Garamond" w:hAnsi="Garamond"/>
          <w:i/>
          <w:noProof/>
        </w:rPr>
        <w:t>Hukum Perkawinan Dan Itsbat Nikah: Antara Perlindungan Dan Kepastian Hukum</w:t>
      </w:r>
      <w:r w:rsidRPr="00FF02D2">
        <w:rPr>
          <w:rFonts w:ascii="Garamond" w:hAnsi="Garamond"/>
          <w:noProof/>
        </w:rPr>
        <w:t xml:space="preserve"> (Humanities Genius, 2020).</w:t>
      </w:r>
      <w:r w:rsidRPr="00FF02D2">
        <w:rPr>
          <w:rFonts w:ascii="Garamond" w:hAnsi="Garamond"/>
        </w:rPr>
        <w:fldChar w:fldCharType="end"/>
      </w:r>
    </w:p>
  </w:footnote>
  <w:footnote w:id="26">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{"citationItems":[{"id":"ITEM-1","itemData":{"URL":"http://putusan.danlevlibrary.net/?q=node/370","accessed":{"date-parts":[["2023","6","1"]]},"author":[{"dropping-particle":"","family":"Mahkamah Agung","given":"","non-dropping-particle":"","parse-names":false,"suffix":""}],"container-title":"Daniel S. Lev Library","id":"ITEM-1","issued":{"date-parts":[["1986"]]},"title":"Putusan MA No. 1400 K/Pdt/1986","type":"webpage"},"uris":["http://www.mendeley.com/documents/?uuid=03e8eef3-5b6f-35db-9d9e-9e8ae6b73799"]}],"mendeley":{"formattedCitation":"Mahkamah Agung, “Putusan MA No. 1400 K/Pdt/1986,” Daniel S. Lev Library, 1986, http://putusan.danlevlibrary.net/?q=node/370.","plainTextFormattedCitation":"Mahkamah Agung, “Putusan MA No. 1400 K/Pdt/1986,” Daniel S. Lev Library, 1986, http://putusan.danlevlibrary.net/?q=node/370.","previouslyFormattedCitation":"Mahkamah Agung, “Putusan MA No. 1400 K/Pdt/1986,” Daniel S. Lev Library, 1986, http://putusan.danlevlibrary.net/?q=node/370."},"properties":{"noteIndex":26},"schema":"https://github.com/citation-style-language/schema/raw/master/csl-citation.json"}</w:instrText>
      </w:r>
      <w:r w:rsidRPr="00FF02D2">
        <w:rPr>
          <w:rFonts w:ascii="Garamond" w:hAnsi="Garamond"/>
        </w:rPr>
        <w:fldChar w:fldCharType="separate"/>
      </w:r>
      <w:r w:rsidRPr="00FF02D2">
        <w:rPr>
          <w:rFonts w:ascii="Garamond" w:hAnsi="Garamond"/>
          <w:noProof/>
        </w:rPr>
        <w:t>Mahkamah Agung, “Putusan MA No. 1400 K/Pdt/1986,” Daniel S. Lev Library, 1986, http://putusan.danlevlibrary.net/?q=node/370.</w:t>
      </w:r>
      <w:r w:rsidRPr="00FF02D2">
        <w:rPr>
          <w:rFonts w:ascii="Garamond" w:hAnsi="Garamond"/>
        </w:rPr>
        <w:fldChar w:fldCharType="end"/>
      </w:r>
    </w:p>
  </w:footnote>
  <w:footnote w:id="27">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{"citationItems":[{"id":"ITEM-1","itemData":{"ISSN":"2579-5562","author":[{"dropping-particle":"","family":"Susanto","given":"Mei","non-dropping-particle":"","parse-names":false,"suffix":""}],"container-title":"Jurnal Legislasi Indonesia","id":"ITEM-1","issue":"2","issued":{"date-parts":[["2021"]]},"page":"184-203","title":"Kedudukan Dan Fungsi Pembukaan Undang-Undang Dasar 1945: Pembelajaran Dari Tren Global","type":"article-journal","volume":"18"},"uris":["http://www.mendeley.com/documents/?uuid=d3ed6040-f115-4830-bb42-07b048d5eb06"]}],"mendeley":{"formattedCitation":"Mei Susanto, “Kedudukan Dan Fungsi Pembukaan Undang-Undang Dasar 1945: Pembelajaran Dari Tren Global,” &lt;i&gt;Jurnal Legislasi Indonesia&lt;/i&gt; 18, no. 2 (2021): 184–203.","plainTextFormattedCitation":"Mei Susanto, “Kedudukan Dan Fungsi Pembukaan Undang-Undang Dasar 1945: Pembelajaran Dari Tren Global,” Jurnal Legislasi Indonesia 18, no. 2 (2021): 184–203.","previouslyFormattedCitation":"Mei Susanto, “Kedudukan Dan Fungsi Pembukaan Undang-Undang Dasar 1945: Pembelajaran Dari Tren Global,” &lt;i&gt;Jurnal Legislasi Indonesia&lt;/i&gt; 18, no. 2 (2021): 184–203."},"properties":{"noteIndex":27},"schema":"https://github.com/citation-style-language/schema/raw/master/csl-citation.json"}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Mei Susanto, “Kedudukan Dan Fungsi Pembukaan Undang-Undang Dasar 1945: Pembelajaran Dari Tren Global,” </w:t>
      </w:r>
      <w:r w:rsidRPr="00FF02D2">
        <w:rPr>
          <w:rFonts w:ascii="Garamond" w:hAnsi="Garamond"/>
          <w:i/>
          <w:noProof/>
        </w:rPr>
        <w:t>Jurnal Legislasi Indonesia</w:t>
      </w:r>
      <w:r w:rsidRPr="00FF02D2">
        <w:rPr>
          <w:rFonts w:ascii="Garamond" w:hAnsi="Garamond"/>
          <w:noProof/>
        </w:rPr>
        <w:t xml:space="preserve"> 18, no. 2 (2021): 184–203.</w:t>
      </w:r>
      <w:r w:rsidRPr="00FF02D2">
        <w:rPr>
          <w:rFonts w:ascii="Garamond" w:hAnsi="Garamond"/>
        </w:rPr>
        <w:fldChar w:fldCharType="end"/>
      </w:r>
    </w:p>
  </w:footnote>
  <w:footnote w:id="28">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8D1526" w:rsidRPr="00FF02D2">
        <w:rPr>
          <w:rFonts w:ascii="Garamond" w:hAnsi="Garamond"/>
        </w:rPr>
        <w:instrText>ADDIN CSL_CITATION {"citationItems":[{"id":"ITEM-1","itemData":{"id":"ITEM-1","issued":{"date-parts":[["2011"]]},"title":"Undang-Undang Nomor 12 Tahun 2011 tentang Pembentukan Peraturan Perundang-Undangan","type":"legislation"},"uris":["http://www.mendeley.com/documents/?uuid=2d9633d8-a135-48e1-bbb2-123cef26e13d"]}],"mendeley":{"formattedCitation":"“Undang-Undang Nomor 12 Tahun 2011 Tentang Pembentukan Peraturan Perundang-Undangan” (2011).","plainTextFormattedCitation":"“Undang-Undang Nomor 12 Tahun 2011 Tentang Pembentukan Peraturan Perundang-Undangan” (2011).","previouslyFormattedCitation":"“Undang-Undang Nomor 12 Tahun 2011 Tentang Pembentukan Peraturan Perundang-Undangan” (2011)."},"properties":{"noteIndex":28},"schema":"https://github.com/citation-style-language/schema/raw/master/csl-citation.json"}</w:instrText>
      </w:r>
      <w:r w:rsidRPr="00FF02D2">
        <w:rPr>
          <w:rFonts w:ascii="Garamond" w:hAnsi="Garamond"/>
        </w:rPr>
        <w:fldChar w:fldCharType="separate"/>
      </w:r>
      <w:r w:rsidRPr="00FF02D2">
        <w:rPr>
          <w:rFonts w:ascii="Garamond" w:hAnsi="Garamond"/>
          <w:noProof/>
        </w:rPr>
        <w:t>“Undang-Undang Nomor 12 Tahun 2011 Tentang Pembentukan Peraturan Perundang-Undangan” (2011).</w:t>
      </w:r>
      <w:r w:rsidRPr="00FF02D2">
        <w:rPr>
          <w:rFonts w:ascii="Garamond" w:hAnsi="Garamond"/>
        </w:rPr>
        <w:fldChar w:fldCharType="end"/>
      </w:r>
    </w:p>
  </w:footnote>
  <w:footnote w:id="29">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{"citationItems":[{"id":"ITEM-1","itemData":{"DOI":"10.31602/al-adl.v8i1.351","ISSN":"1979-4940","abstract":"The main issue in this research is to see the extent to which the setting of interfaith marriage both in terms of positive law and law of Islam by using an approach Al-Maqasid As Syarai'ah. The method used is normative research which will be proceed and analyzed in qualitative descriptive. The study concluded that interfaith marriage is not valid with the current circumstances, referring to the Qur'an Surah Al Baqarah verse 221, Al Mumtahanah verse 10 and Al Maidah verse 5.","author":[{"dropping-particle":"","family":"Rani Tiara S.","given":"Mega","non-dropping-particle":"","parse-names":false,"suffix":""}],"container-title":"Al-Adl : Jurnal Hukum","id":"ITEM-1","issue":"1","issued":{"date-parts":[["2016"]]},"title":"Diskursus Tentang Nikah Beda Agama (Kajian Al Maqasid As Syari’ah)","type":"article-journal","volume":"8"},"uris":["http://www.mendeley.com/documents/?uuid=f5a04f78-4740-343e-9f34-794d96017b5c"]}],"mendeley":{"formattedCitation":"Mega Rani Tiara S., “Diskursus Tentang Nikah Beda Agama (Kajian Al Maqasid As Syari’ah),” &lt;i&gt;Al-Adl</w:instrText>
      </w:r>
      <w:r w:rsidR="00B8324B" w:rsidRPr="00FF02D2">
        <w:rPr>
          <w:rFonts w:ascii="Times New Roman" w:hAnsi="Times New Roman" w:cs="Times New Roman"/>
        </w:rPr>
        <w:instrText> </w:instrText>
      </w:r>
      <w:r w:rsidR="00B8324B" w:rsidRPr="00FF02D2">
        <w:rPr>
          <w:rFonts w:ascii="Garamond" w:hAnsi="Garamond"/>
        </w:rPr>
        <w:instrText xml:space="preserve">: Jurnal Hukum&lt;/i&gt; 8, no. 1 (2016), https://doi.org/10.31602/al-adl.v8i1.351.","plainTextFormattedCitation":"Mega Rani Tiara S., </w:instrText>
      </w:r>
      <w:r w:rsidR="00B8324B" w:rsidRPr="00FF02D2">
        <w:rPr>
          <w:rFonts w:ascii="Garamond" w:hAnsi="Garamond" w:cs="Garamond"/>
        </w:rPr>
        <w:instrText>“</w:instrText>
      </w:r>
      <w:r w:rsidR="00B8324B" w:rsidRPr="00FF02D2">
        <w:rPr>
          <w:rFonts w:ascii="Garamond" w:hAnsi="Garamond"/>
        </w:rPr>
        <w:instrText>Diskursus Tentang Nikah Beda Agama (Kajian Al Maqasid As Syari’ah),” Al-Adl</w:instrText>
      </w:r>
      <w:r w:rsidR="00B8324B" w:rsidRPr="00FF02D2">
        <w:rPr>
          <w:rFonts w:ascii="Times New Roman" w:hAnsi="Times New Roman" w:cs="Times New Roman"/>
        </w:rPr>
        <w:instrText> </w:instrText>
      </w:r>
      <w:r w:rsidR="00B8324B" w:rsidRPr="00FF02D2">
        <w:rPr>
          <w:rFonts w:ascii="Garamond" w:hAnsi="Garamond"/>
        </w:rPr>
        <w:instrText xml:space="preserve">: Jurnal Hukum 8, no. 1 (2016), https://doi.org/10.31602/al-adl.v8i1.351.","previouslyFormattedCitation":"Mega Rani Tiara S., </w:instrText>
      </w:r>
      <w:r w:rsidR="00B8324B" w:rsidRPr="00FF02D2">
        <w:rPr>
          <w:rFonts w:ascii="Garamond" w:hAnsi="Garamond" w:cs="Garamond"/>
        </w:rPr>
        <w:instrText>“</w:instrText>
      </w:r>
      <w:r w:rsidR="00B8324B" w:rsidRPr="00FF02D2">
        <w:rPr>
          <w:rFonts w:ascii="Garamond" w:hAnsi="Garamond"/>
        </w:rPr>
        <w:instrText>Diskursus Tentang Nikah Beda Agama (Kajian Al Maqasid As Syari</w:instrText>
      </w:r>
      <w:r w:rsidR="00B8324B" w:rsidRPr="00FF02D2">
        <w:rPr>
          <w:rFonts w:ascii="Garamond" w:hAnsi="Garamond" w:cs="Garamond"/>
        </w:rPr>
        <w:instrText>’</w:instrText>
      </w:r>
      <w:r w:rsidR="00B8324B" w:rsidRPr="00FF02D2">
        <w:rPr>
          <w:rFonts w:ascii="Garamond" w:hAnsi="Garamond"/>
        </w:rPr>
        <w:instrText>ah),</w:instrText>
      </w:r>
      <w:r w:rsidR="00B8324B" w:rsidRPr="00FF02D2">
        <w:rPr>
          <w:rFonts w:ascii="Garamond" w:hAnsi="Garamond" w:cs="Garamond"/>
        </w:rPr>
        <w:instrText>”</w:instrText>
      </w:r>
      <w:r w:rsidR="00B8324B" w:rsidRPr="00FF02D2">
        <w:rPr>
          <w:rFonts w:ascii="Garamond" w:hAnsi="Garamond"/>
        </w:rPr>
        <w:instrText xml:space="preserve"> &lt;i&gt;Al</w:instrText>
      </w:r>
      <w:r w:rsidR="00B8324B" w:rsidRPr="00FF02D2">
        <w:rPr>
          <w:rFonts w:ascii="Garamond" w:hAnsi="Garamond" w:cs="Garamond"/>
        </w:rPr>
        <w:instrText>’</w:instrText>
      </w:r>
      <w:r w:rsidR="00B8324B" w:rsidRPr="00FF02D2">
        <w:rPr>
          <w:rFonts w:ascii="Garamond" w:hAnsi="Garamond"/>
        </w:rPr>
        <w:instrText xml:space="preserve"> Adl&lt;/i&gt; 1 (2016), www.google.com.pernikahanlintasagama.pd."},"properties":{"noteIndex":29},"schema":"https://github.com/citation-style-language/schema/raw/master/csl-citation.json"}</w:instrText>
      </w:r>
      <w:r w:rsidRPr="00FF02D2">
        <w:rPr>
          <w:rFonts w:ascii="Garamond" w:hAnsi="Garamond"/>
        </w:rPr>
        <w:fldChar w:fldCharType="separate"/>
      </w:r>
      <w:r w:rsidR="00B8324B" w:rsidRPr="00FF02D2">
        <w:rPr>
          <w:rFonts w:ascii="Garamond" w:hAnsi="Garamond"/>
          <w:noProof/>
        </w:rPr>
        <w:t xml:space="preserve">Mega Rani Tiara S., “Diskursus Tentang Nikah Beda Agama (Kajian Al Maqasid As Syari’ah),” </w:t>
      </w:r>
      <w:r w:rsidR="00B8324B" w:rsidRPr="00FF02D2">
        <w:rPr>
          <w:rFonts w:ascii="Garamond" w:hAnsi="Garamond"/>
          <w:i/>
          <w:noProof/>
        </w:rPr>
        <w:t>Al-Adl</w:t>
      </w:r>
      <w:r w:rsidR="00B8324B" w:rsidRPr="00FF02D2">
        <w:rPr>
          <w:rFonts w:ascii="Times New Roman" w:hAnsi="Times New Roman" w:cs="Times New Roman"/>
          <w:i/>
          <w:noProof/>
        </w:rPr>
        <w:t> </w:t>
      </w:r>
      <w:r w:rsidR="00B8324B" w:rsidRPr="00FF02D2">
        <w:rPr>
          <w:rFonts w:ascii="Garamond" w:hAnsi="Garamond"/>
          <w:i/>
          <w:noProof/>
        </w:rPr>
        <w:t>: Jurnal Hukum</w:t>
      </w:r>
      <w:r w:rsidR="00B8324B" w:rsidRPr="00FF02D2">
        <w:rPr>
          <w:rFonts w:ascii="Garamond" w:hAnsi="Garamond"/>
          <w:noProof/>
        </w:rPr>
        <w:t xml:space="preserve"> 8, no. 1 (2016), https://doi.org/10.31602/al-adl.v8i1.351.</w:t>
      </w:r>
      <w:r w:rsidRPr="00FF02D2">
        <w:rPr>
          <w:rFonts w:ascii="Garamond" w:hAnsi="Garamond"/>
        </w:rPr>
        <w:fldChar w:fldCharType="end"/>
      </w:r>
    </w:p>
  </w:footnote>
  <w:footnote w:id="30">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ISSN":"2443-0609","author":[{"dropping-particle":"","family":"Muzan","given":"Amrul","non-dropping-particle":"","parse-names":false,"suffix":""},{"dropping-particle":"","family":"Muir","given":"Syamsuddin","non-dropping-particle":"","parse-names":false,"suffix":""},{"dropping-particle":"","family":"Basri","given":"Hasan","non-dropping-particle":"","parse-names":false,"suffix":""},{"dropping-particle":"","family":"Gemilang","given":"Kemas Muhammad","non-dropping-particle":"","parse-names":false,"suffix":""},{"dropping-particle":"","family":"Darulhuda","given":"Darulhuda","non-dropping-particle":"","parse-names":false,"suffix":""}],"container-title":"Hukum Islam","id":"ITEM-1","issue":"2","issued":{"date-parts":[["2022"]]},"page":"52-72","title":"MITIGASI KONFLIK RUMAH TANGGA DALAM UPAYA MENJAGA KEUTUHAN KELUARGA SAKINAH","type":"article-journal","volume":"22"},"uris":["http://www.mendeley.com/documents/?uuid=e1fae465-b05e-44a0-86f0-51b6766ba28e"]}],"mendeley":{"formattedCitation":"Amrul Muzan et al., “MITIGASI KONFLIK RUMAH TANGGA DALAM UPAYA MENJAGA KEUTUHAN KELUARGA SAKINAH,” &lt;i&gt;Hukum Islam&lt;/i&gt; 22, no. 2 (2022): 52–72.","plainTextFormattedCitation":"Amrul Muzan et al., “MITIGASI KONFLIK RUMAH TANGGA DALAM UPAYA MENJAGA KEUTUHAN KELUARGA SAKINAH,” Hukum Islam 22, no. 2 (2022): 52–72.","previouslyFormattedCitation":"Amrul Muzan et al., “MITIGASI KONFLIK RUMAH TANGGA DALAM UPAYA MENJAGA KEUTUHAN KELUARGA SAKINAH,” &lt;i&gt;Hukum Islam&lt;/i&gt; 22, no. 2 (2022): 52–72."},"properties":{"noteIndex":30},"schema":"https://github.com/citation-style-language/schema/raw/master/csl-citation.json"}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Amrul Muzan et al., “MITIGASI KONFLIK RUMAH TANGGA DALAM UPAYA MENJAGA KEUTUHAN KELUARGA SAKINAH,” </w:t>
      </w:r>
      <w:r w:rsidRPr="00FF02D2">
        <w:rPr>
          <w:rFonts w:ascii="Garamond" w:hAnsi="Garamond"/>
          <w:i/>
          <w:noProof/>
        </w:rPr>
        <w:t>Hukum Islam</w:t>
      </w:r>
      <w:r w:rsidRPr="00FF02D2">
        <w:rPr>
          <w:rFonts w:ascii="Garamond" w:hAnsi="Garamond"/>
          <w:noProof/>
        </w:rPr>
        <w:t xml:space="preserve"> 22, no. 2 (2022): 52–72.</w:t>
      </w:r>
      <w:r w:rsidRPr="00FF02D2">
        <w:rPr>
          <w:rFonts w:ascii="Garamond" w:hAnsi="Garamond"/>
        </w:rPr>
        <w:fldChar w:fldCharType="end"/>
      </w:r>
    </w:p>
  </w:footnote>
  <w:footnote w:id="31">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{"citationItems":[{"id":"ITEM-1","itemData":{"abstract":"This research has been raised about the historical and existence of the Islamic sect in Indonesia, which is the majority of Muslims in Indonesia adhering to the Imam Syafi'i. This is caused by Islam which entered the first time into Indonesia is the Syafi'i Islamic sect so that the majority of the spread of Islam in Indonesia is Islam in the Syafi'i sect. The existence of Imam Syafi`i continued when the ulama Islamic scholars of the Syafi'iyyah spread Islam through various pathways such as kingdoms, arts, education that adapted to Indonesian culture and cultures that caused Islam to cling and rooted in the lives of Indonesian Muslims. The existence of Imam Syafi`i's sect is in tandem with the emergence of Indonesian Islamic reform and other sects, but the Imam Syafi`i still affects the decision of the Government in establishing a law. This research aims to see how the history and existence of the Imam Syafi`i sect affect the decision of Islamic law in Indonesia. This research is a research library, the results show that historically and the existence of the Syafi'i sect in Indonesia is influenced by the early history of Islam began to enter and the role of Ulama Imam Syafi'i School which teaches and Spreading Islam throughout Indonesia, the existence of Imam Syafi'i School is strongly influenced by the dynamics of changes in Islamic renewal thinking in Indonesia","author":[{"dropping-particle":"","family":"Rohmah","given":"Anny Nailatur","non-dropping-particle":"","parse-names":false,"suffix":""},{"dropping-particle":"","family":"Az Zafi","given":"Ashif","non-dropping-particle":"","parse-names":false,"suffix":""}],"container-title":"Tamaddun: Jurnal Sejarah dan Kebudayaan","id":"ITEM-1","issue":"1","issued":{"date-parts":[["2020","5"]]},"title":"Jejak Eksistensi Mazhab Syafi`i di Indonesia","type":"article-journal","volume":"8"},"uris":["http://www.mendeley.com/documents/?uuid=e9753a15-55e3-30f1-a2e9-157e94bd90f5"]}],"mendeley":{"formattedCitation":"Anny Nailatur Rohmah and Ashif Az Zafi, “Jejak Eksistensi Mazhab Syafi`i Di Indonesia,” &lt;i&gt;Tamaddun: Jurnal Sejarah Dan Kebudayaan&lt;/i&gt; 8, no. 1 (May 2020), https://www.researchgate.net/profile/Ashif-Zafi/publication/342830996_Jejak_Eksistensi_Mazhab_Syafii_di_Indonesia/links/5f163f3fa6fdcc3ed719d88e/Jejak-Eksistensi-Mazhab-Syafi-i-di-Indonesia.pdf.","plainTextFormattedCitation":"Anny Nailatur Rohmah and Ashif Az Zafi, “Jejak Eksistensi Mazhab Syafi`i Di Indonesia,” Tamaddun: Jurnal Sejarah Dan Kebudayaan 8, no. 1 (May 2020), https://www.researchgate.net/profile/Ashif-Zafi/publication/342830996_Jejak_Eksistensi_Mazhab_Syafii_di_Indonesia/links/5f163f3fa6fdcc3ed719d88e/Jejak-Eksistensi-Mazhab-Syafi-i-di-Indonesia.pdf.","previouslyFormattedCitation":"Anny Nailatur Rohmah and Ashif Az Zafi, “Jejak Eksistensi Mazhab Syafi`i Di Indonesia,” &lt;i&gt;Tamaddun: Jurnal Sejarah Dan Kebudayaan&lt;/i&gt; 8, no. 1 (May 2020), https://www.researchgate.net/profile/Ashif-Zafi/publication/342830996_Jejak_Eksistensi_Mazhab_Syafii_di_Indonesia/links/5f163f3fa6fdcc3ed719d88e/Jejak-Eksistensi-Mazhab-Syafi-i-di-Indonesia.pdf."},"properties":{"noteIndex":31},"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Anny Nailatur Rohmah and Ashif Az Zafi, “Jejak Eksistensi Mazhab Syafi`i Di Indonesia,” </w:t>
      </w:r>
      <w:r w:rsidRPr="00FF02D2">
        <w:rPr>
          <w:rFonts w:ascii="Garamond" w:hAnsi="Garamond"/>
          <w:i/>
          <w:noProof/>
        </w:rPr>
        <w:t>Tamaddun: Jurnal Sejarah Dan Kebudayaan</w:t>
      </w:r>
      <w:r w:rsidRPr="00FF02D2">
        <w:rPr>
          <w:rFonts w:ascii="Garamond" w:hAnsi="Garamond"/>
          <w:noProof/>
        </w:rPr>
        <w:t xml:space="preserve"> 8, no. 1 (May 2020), https://www.researchgate.net/profile/Ashif-Zafi/publication/342830996_Jejak_Eksistensi_Mazhab_Syafii_di_Indonesia/links/5f163f3fa6fdcc3ed719d88e/Jejak-Eksistensi-Mazhab-Syafi-i-di-Indonesia.pdf.</w:t>
      </w:r>
      <w:r w:rsidRPr="00FF02D2">
        <w:rPr>
          <w:rFonts w:ascii="Garamond" w:hAnsi="Garamond"/>
        </w:rPr>
        <w:fldChar w:fldCharType="end"/>
      </w:r>
    </w:p>
  </w:footnote>
  <w:footnote w:id="32">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{"citationItems":[{"id":"ITEM-1","itemData":{"DOI":"10.14421/jsa.2018.121-01","ISSN":"1978-4457","abstract":"Interfaith marriage is still an interesting theme to be discussed which is full of controversy. Ahmad Nurcholish and Ang Mei Yong were one of the phenomenal interfaith marriages in Indonesia in 2003. This study focused on the conflict management model of interfaith marriage undertaken by both. Ahmad Nurcholish is a devout Muslim, and Ang Mei Yong is a Confucian. The interfaith marriages that are lived by them are mutual agreements without any element of coercion. According to Ahmad Nurcholish, to deal with interfaith marriages there are at least 3 models, namely: self-reflection, asking for advice from the closest person, and presenting mediators, through the process of externalization, objectification, and internalization. While in conflict management there are several aspects, namely, competency, collaboration, compromise, avoidance, and accommodating.Keywords: Marriage different religion, Ahmad Nurcholis, Social Construction, Conflict Management AbstrakPernikahan beda agama masih menjadi tema menarik untuk diperbincangkan yang sarat akan kontroversi. Ahmad Nurcholish dan Ang Mei Yong merupakan salah satu pelaku nikah beda agama di Indonesia yang fenomenal pada tahun 2003. Kajian ini, memfokuskan pada model manajemen konflik Nikah beda agama yang dijalani oleh keduanya. Ahmad Nurcholish yang beragama Islam taat, dan Ang Mei Yong yang beragama Khonghucu. Pernikahan beda agama yang dijalani keduanya merupakan kesepakatan bersama tanpa ada unsur paksaan. Menurut Ahmad Nurcholish, untuk menangani nikah beda agama setidaknya ada 3 model, yaitu: refleksi diri, minta saran orang terdekat, dan menghadirkan mediator, melalui proses eksternalisasi, objektivikasi, dan internalisasi. Sementara dalam memanajemen konflik ada beberapa aspek yaitu, kompetesi, kolaborasi, kompromi, menghindar, dan mengakomodasi.Kata Kunci: Nikah Beda Agama, Ahmad Nurcholis, Konstruksi Sosial, Manjemen Konflik","author":[{"dropping-particle":"","family":"Amalia","given":"Tyas","non-dropping-particle":"","parse-names":false,"suffix":""}],"container-title":"Jurnal Sosiologi Agama","id":"ITEM-1","issue":"1","issued":{"date-parts":[["2018"]]},"page":"1","title":"Model Manajemen Konflik Pernikahan Beda Agama Dalam Pemikiran Ahmad Nurcholish","type":"article-journal","volume":"12"},"uris":["http://www.mendeley.com/documents/?uuid=71e7db14-dbb7-40e3-bd62-85cfe2541f13"]}],"mendeley":{"formattedCitation":"Amalia, “Model Manajemen Konflik Pernikahan Beda Agama Dalam Pemikiran Ahmad Nurcholish.”","plainTextFormattedCitation":"Amalia, “Model Manajemen Konflik Pernikahan Beda Agama Dalam Pemikiran Ahmad Nurcholish.”","previouslyFormattedCitation":"Amalia, “Model Manajemen Konflik Pernikahan Beda Agama Dalam Pemikiran Ahmad Nurcholish.”"},"properties":{"noteIndex":32},"schema":"https://github.com/citation-style-language/schema/raw/master/csl-citation.json"}</w:instrText>
      </w:r>
      <w:r w:rsidRPr="00FF02D2">
        <w:rPr>
          <w:rFonts w:ascii="Garamond" w:hAnsi="Garamond"/>
        </w:rPr>
        <w:fldChar w:fldCharType="separate"/>
      </w:r>
      <w:r w:rsidRPr="00FF02D2">
        <w:rPr>
          <w:rFonts w:ascii="Garamond" w:hAnsi="Garamond"/>
          <w:noProof/>
        </w:rPr>
        <w:t>Amalia, “Model Manajemen Konflik Pernikahan Beda Agama Dalam Pemikiran Ahmad Nurcholish.”</w:t>
      </w:r>
      <w:r w:rsidRPr="00FF02D2">
        <w:rPr>
          <w:rFonts w:ascii="Garamond" w:hAnsi="Garamond"/>
        </w:rPr>
        <w:fldChar w:fldCharType="end"/>
      </w:r>
    </w:p>
  </w:footnote>
  <w:footnote w:id="33">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 xml:space="preserve">ADDIN CSL_CITATION {"citationItems":[{"id":"ITEM-1","itemData":{"DOI":"10.36701/BUSTANUL.V1I1.125","ISSN":"2723-6021","abstract":"This study aimed to describe the basic concept of consensus as source of Islamic law. The description of basic concept of consensus consists of: 1) definition of consensus; 2) status of consensus as a fundament of Islamic knowledge and law; 3) types of consensus; 4) examples of consensus in terms of classical and contemporary Islamic jurisprudence; and 5) law of refutation against consensus. The research applied a qualitative-descriptive approach with library research methods combined with content analysis of a number of books and related articles. The results show that: 1) consensus is an agreement of scholars of mujtahid among the people of Prophet Muhammad saw.&amp;nbsp;on an shari issue that is not obviously found in the Koran and hadis in the period after the Prophet which has specific pillars and conditions; 2) of consensus in its position as a source of knowledge and Islamic law is in the third row after the Koran and hadis; 3) types of consensus include </w:instrText>
      </w:r>
      <w:r w:rsidR="00B8324B" w:rsidRPr="00FF02D2">
        <w:rPr>
          <w:rFonts w:ascii="Cambria" w:hAnsi="Cambria" w:cs="Cambria"/>
        </w:rPr>
        <w:instrText>ṣ</w:instrText>
      </w:r>
      <w:r w:rsidR="00B8324B" w:rsidRPr="00FF02D2">
        <w:rPr>
          <w:rFonts w:ascii="Garamond" w:hAnsi="Garamond"/>
        </w:rPr>
        <w:instrText>ar</w:instrText>
      </w:r>
      <w:r w:rsidR="00B8324B" w:rsidRPr="00FF02D2">
        <w:rPr>
          <w:rFonts w:ascii="Garamond" w:hAnsi="Garamond" w:cs="Garamond"/>
        </w:rPr>
        <w:instrText>ī</w:instrText>
      </w:r>
      <w:r w:rsidR="00B8324B" w:rsidRPr="00FF02D2">
        <w:rPr>
          <w:rFonts w:ascii="Garamond" w:hAnsi="Garamond"/>
        </w:rPr>
        <w:instrText>h consensus and suk</w:instrText>
      </w:r>
      <w:r w:rsidR="00B8324B" w:rsidRPr="00FF02D2">
        <w:rPr>
          <w:rFonts w:ascii="Garamond" w:hAnsi="Garamond" w:cs="Garamond"/>
        </w:rPr>
        <w:instrText>ū</w:instrText>
      </w:r>
      <w:r w:rsidR="00B8324B" w:rsidRPr="00FF02D2">
        <w:rPr>
          <w:rFonts w:ascii="Garamond" w:hAnsi="Garamond"/>
        </w:rPr>
        <w:instrText>t</w:instrText>
      </w:r>
      <w:r w:rsidR="00B8324B" w:rsidRPr="00FF02D2">
        <w:rPr>
          <w:rFonts w:ascii="Garamond" w:hAnsi="Garamond" w:cs="Garamond"/>
        </w:rPr>
        <w:instrText>ī</w:instrText>
      </w:r>
      <w:r w:rsidR="00B8324B" w:rsidRPr="00FF02D2">
        <w:rPr>
          <w:rFonts w:ascii="Garamond" w:hAnsi="Garamond"/>
        </w:rPr>
        <w:instrText>&amp;nbsp;consensus, and some divides it into qat</w:instrText>
      </w:r>
      <w:r w:rsidR="00B8324B" w:rsidRPr="00FF02D2">
        <w:rPr>
          <w:rFonts w:ascii="Garamond" w:hAnsi="Garamond" w:cs="Garamond"/>
        </w:rPr>
        <w:instrText>’</w:instrText>
      </w:r>
      <w:r w:rsidR="00B8324B" w:rsidRPr="00FF02D2">
        <w:rPr>
          <w:rFonts w:ascii="Garamond" w:hAnsi="Garamond"/>
        </w:rPr>
        <w:instrText>i consensus and dzanni consensus; 4) some examples of consensus: a) forms of classical Islamic jurisprudence consensus: the agreement of the scholars regarding the prohibition of marrying grandmother and granddaughter, that grandson and son are in one position in terms of inheritance division, that inheritance portion for grandmother is one sixth if there is no mother, and consensus of the companions to codify the Koran owing to benefits that appeared during the caliphate of Abu Bakr al-Shiddiq ra. b) Forms of contemporary Islamic jurisprudence: validity of human organ transplants, brain death, animal and human cloning, joint-stock companies, stock exchanges, globalization, and compliance with international institutions, regulations and laws such as world education organizations and world trade organizations; and 5) law of those who refute consensus in absolute manner (totality) are considered disbelievers.","author":[{"dropping-particle":"","family":"Syaripudin","given":"Ahmad","non-dropping-particle":"","parse-names":false,"suffix":""},{"dropping-particle":"","family":"Kasim","given":"M","non-dropping-particle":"","parse-names":false,"suffix":""}],"container-title":"BUSTANUL FUQAHA: Jurnal Bidang Hukum Islam ","id":"ITEM-1","issue":"1","issued":{"date-parts":[["2020","4","24"]]},"page":"28-43","publisher":"Sekolah Tinggi Ilmu Islam dan Bahasa Arab (STIBA) Makassar","title":"Konsep Dasar Ijmak sebagai Sumber Hukum Islam","type":"article-journal","volume":"1"},"uris":["http://www.mendeley.com/documents/?uuid=1a4643b4-c5ea-382b-ae6c-6997b4547841"]}],"mendeley":{"formattedCitation":"Ahmad Syaripudin and M Kasim, “Konsep Dasar Ijmak Sebagai Sumber Hukum Islam,” &lt;i&gt;BUSTANUL FUQAHA: Jurnal Bidang Hukum Islam &lt;/i&gt; 1, no. 1 (April 24, 2020): 28–43, https://doi.org/10.36701/BUSTANUL.V1I1.125.","plainTextFormattedCitation":"Ahmad Syaripudin and M Kasim, “Konsep Dasar Ijmak Sebagai Sumber Hukum Islam,” BUSTANUL FUQAHA: Jurnal Bidang Hukum Islam  1, no. 1 (April 24, 2020): 28–43, https://doi.org/10.36701/BUSTANUL.V1I1.125.","previouslyFormattedCitation":"Ahmad Syaripudin and M Kasim, “Konsep Dasar Ijmak Sebagai Sumber Hukum Islam,” &lt;i&gt;BUSTANUL FUQAHA: Jurnal Bidang Hukum Islam &lt;/i&gt; 1, no. 1 (April 24, 2020): 28–43, https://doi.org/10.36701/BUSTANUL.V1I1.125."},"properties":{"noteIndex":33},"schema":"https://github.com/citation-style-language/schema/raw/master/csl-citation.json"}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Ahmad Syaripudin and M Kasim, “Konsep Dasar Ijmak Sebagai Sumber Hukum Islam,” </w:t>
      </w:r>
      <w:r w:rsidRPr="00FF02D2">
        <w:rPr>
          <w:rFonts w:ascii="Garamond" w:hAnsi="Garamond"/>
          <w:i/>
          <w:noProof/>
        </w:rPr>
        <w:t xml:space="preserve">BUSTANUL FUQAHA: Jurnal Bidang Hukum Islam </w:t>
      </w:r>
      <w:r w:rsidRPr="00FF02D2">
        <w:rPr>
          <w:rFonts w:ascii="Garamond" w:hAnsi="Garamond"/>
          <w:noProof/>
        </w:rPr>
        <w:t xml:space="preserve"> 1, no. 1 (April 24, 2020): 28–43, https://doi.org/10.36701/BUSTANUL.V1I1.125.</w:t>
      </w:r>
      <w:r w:rsidRPr="00FF02D2">
        <w:rPr>
          <w:rFonts w:ascii="Garamond" w:hAnsi="Garamond"/>
        </w:rPr>
        <w:fldChar w:fldCharType="end"/>
      </w:r>
    </w:p>
  </w:footnote>
  <w:footnote w:id="34">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{"citationItems":[{"id":"ITEM-1","itemData":{"author":[{"dropping-particle":"","family":"Fatoni","given":"Siti Nur","non-dropping-particle":"","parse-names":false,"suffix":""},{"dropping-particle":"","family":"Rusliana","given":"Iu","non-dropping-particle":"","parse-names":false,"suffix":""}],"id":"ITEM-1","issued":{"date-parts":[["2019"]]},"page":"95-114","title":"PERNIKAHAN BEDA AGAMA MENURUT TOKOH LINTAS AGAMA DI KOTA BANDUNG","type":"article-journal","volume":"1"},"uris":["http://www.mendeley.com/documents/?uuid=20710b93-7976-3cd5-b511-4b5648ff2deb"]}],"mendeley":{"formattedCitation":"Siti Nur Fatoni and Iu Rusliana, “PERNIKAHAN BEDA AGAMA MENURUT TOKOH LINTAS AGAMA DI KOTA BANDUNG” 1 (2019): 95–114.","plainTextFormattedCitation":"Siti Nur Fatoni and Iu Rusliana, “PERNIKAHAN BEDA AGAMA MENURUT TOKOH LINTAS AGAMA DI KOTA BANDUNG” 1 (2019): 95–114.","previouslyFormattedCitation":"Siti Nur Fatoni and Iu Rusliana, “PERNIKAHAN BEDA AGAMA MENURUT TOKOH LINTAS AGAMA DI KOTA BANDUNG” 1 (2019): 95–114."},"properties":{"noteIndex":34},"schema":"https://github.com/citation-style-language/schema/raw/master/csl-citation.json"}</w:instrText>
      </w:r>
      <w:r w:rsidRPr="00FF02D2">
        <w:rPr>
          <w:rFonts w:ascii="Garamond" w:hAnsi="Garamond"/>
        </w:rPr>
        <w:fldChar w:fldCharType="separate"/>
      </w:r>
      <w:r w:rsidRPr="00FF02D2">
        <w:rPr>
          <w:rFonts w:ascii="Garamond" w:hAnsi="Garamond"/>
          <w:noProof/>
        </w:rPr>
        <w:t>Siti Nur Fatoni and Iu Rusliana, “PERNIKAHAN BEDA AGAMA MENURUT TOKOH LINTAS AGAMA DI KOTA BANDUNG” 1 (2019): 95–114.</w:t>
      </w:r>
      <w:r w:rsidRPr="00FF02D2">
        <w:rPr>
          <w:rFonts w:ascii="Garamond" w:hAnsi="Garamond"/>
        </w:rPr>
        <w:fldChar w:fldCharType="end"/>
      </w:r>
    </w:p>
  </w:footnote>
  <w:footnote w:id="35">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{"citationItems":[{"id":"ITEM-1","itemData":{"id":"ITEM-1","issued":{"date-parts":[["0"]]},"title":"Undang-Undang Nomor 1 Tahun 1974 Tentang Perkawinan","type":"legislation"},"uris":["http://www.mendeley.com/documents/?uuid=518523b5-9355-3737-aab8-5e64dbfdb117"]}],"mendeley":{"formattedCitation":"“Undang-Undang Nomor 1 Tahun 1974 Tentang Perkawinan” (n.d.).","plainTextFormattedCitation":"“Undang-Undang Nomor 1 Tahun 1974 Tentang Perkawinan” (n.d.).","previouslyFormattedCitation":"“Undang-Undang Nomor 1 Tahun 1974 Tentang Perkawinan” (n.d.)."},"properties":{"noteIndex":35},"schema":"https://github.com/citation-style-language/schema/raw/master/csl-citation.json"}</w:instrText>
      </w:r>
      <w:r w:rsidRPr="00FF02D2">
        <w:rPr>
          <w:rFonts w:ascii="Garamond" w:hAnsi="Garamond"/>
        </w:rPr>
        <w:fldChar w:fldCharType="separate"/>
      </w:r>
      <w:r w:rsidRPr="00FF02D2">
        <w:rPr>
          <w:rFonts w:ascii="Garamond" w:hAnsi="Garamond"/>
          <w:noProof/>
        </w:rPr>
        <w:t>“Undang-Undang Nomor 1 Tahun 1974 Tentang Perkawinan” (n.d.).</w:t>
      </w:r>
      <w:r w:rsidRPr="00FF02D2">
        <w:rPr>
          <w:rFonts w:ascii="Garamond" w:hAnsi="Garamond"/>
        </w:rPr>
        <w:fldChar w:fldCharType="end"/>
      </w:r>
    </w:p>
  </w:footnote>
  <w:footnote w:id="36">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{"citationItems":[{"id":"ITEM-1","itemData":{"ISSN":"2985-9794","abstract":"Kondisi Jiwa yang tenang adalah jiwa yang disinari oleh akal dan rasional dengan kata lain Jiwa yang tenang itu dapat menguasai diri dalam kondisi apapun, dapat berfikir secara rasional dan mampu menciptakan keseimbangan dalam diri seseorang. Salah satu ciri jiwa yang tenang adalah jiwa yang mampu merasa ridho terhadap apa yang telah digariskan Allah SWT kepadanya. Suatu makhluk baru dikatakan berjiwa jika sanggup mengalami, merasakan, berkemauan dan lain sebagainya.\nPenelitian ini merupakan penelitian kualitatif dan bersifat deskriptif. Dan tujuannya untuk mengetahui implikasi ketenangan jiwa dan ketentraman hati sebagai faktor yang mempengaruhi keberhasilan pendidikan bagi remaja. Sumber data primer penelitian ini adalah Buku-buku yang relevan. Metode pengumpulan data yang dilakukan dalam penelitian ini melalui wawancara, observasi dan dokumentasi. Dan teknik analisis data menggunakan analisis kualitatif yang bersifat induktif.\nKetenangan secara etimologi berarti mantap, tidak gusar, yaitu : suasana jiwa yang berada dalam keseimbangan sehingga menyebabkan seseorang tidak terburu-buru atau gelisah, Adapun faktor-faktor yang mempengaruhi keberhasilan proses pendidikan remaja adalah Faktor yang berasal dari luar diri siswa (eksternal) dan Faktor yang berasal dari dalam diri siswa (internal) yaitu kondisi psikologis siswa dan proses. Pendidikan merupakan proses belajar mengajar yang dapat menghasilkan perubahan tingkah laku seseorang.","author":[{"dropping-particle":"","family":"Ardianto","given":"Medi Romi","non-dropping-particle":"","parse-names":false,"suffix":""},{"dropping-particle":"","family":"Zamroni","given":"Ahmad","non-dropping-particle":"","parse-names":false,"suffix":""}],"container-title":"IEMJ : Islamic Education Management Journal","id":"ITEM-1","issue":"1","issued":{"date-parts":[["2022","2","22"]]},"page":"20-35","title":"Implikasi Ketenangan Jiwa Dan Ketentraman Hati Sebagai Faktor Yang Mempengaruhi Keberhasilan Pendidikan Bagi Remaja","type":"article-journal","volume":"1"},"uris":["http://www.mendeley.com/documents/?uuid=18b4eb6b-1275-3f6c-8191-7029916744d1"]}],"mendeley":{"formattedCitation":"Medi Romi Ardianto and Ahmad Zamroni, “Implikasi Ketenangan Jiwa Dan Ketentraman Hati Sebagai Faktor Yang Mempengaruhi Keberhasilan Pendidikan Bagi Remaja,” &lt;i&gt;IEMJ</w:instrText>
      </w:r>
      <w:r w:rsidR="00B8324B" w:rsidRPr="00FF02D2">
        <w:rPr>
          <w:rFonts w:ascii="Times New Roman" w:hAnsi="Times New Roman" w:cs="Times New Roman"/>
        </w:rPr>
        <w:instrText> </w:instrText>
      </w:r>
      <w:r w:rsidR="00B8324B" w:rsidRPr="00FF02D2">
        <w:rPr>
          <w:rFonts w:ascii="Garamond" w:hAnsi="Garamond"/>
        </w:rPr>
        <w:instrText>: Islamic Education Management Journal&lt;/i&gt; 1, no. 1 (February 22, 2022): 20–35, https://journal.staialmaarifwaykanan.ac.id/index.php/iemj/article/view/85.","plainTextFormattedCitation":"Medi Romi Ardianto and Ahmad Zamroni, “Implikasi Ketenangan Jiwa Dan Ketentraman Hati Sebagai Faktor Yang Mempengaruhi Keberhasilan Pendidikan Bagi Remaja,” IEMJ</w:instrText>
      </w:r>
      <w:r w:rsidR="00B8324B" w:rsidRPr="00FF02D2">
        <w:rPr>
          <w:rFonts w:ascii="Times New Roman" w:hAnsi="Times New Roman" w:cs="Times New Roman"/>
        </w:rPr>
        <w:instrText> </w:instrText>
      </w:r>
      <w:r w:rsidR="00B8324B" w:rsidRPr="00FF02D2">
        <w:rPr>
          <w:rFonts w:ascii="Garamond" w:hAnsi="Garamond"/>
        </w:rPr>
        <w:instrText>: Islamic Education Management Journal 1, no. 1 (February 22, 2022): 20</w:instrText>
      </w:r>
      <w:r w:rsidR="00B8324B" w:rsidRPr="00FF02D2">
        <w:rPr>
          <w:rFonts w:ascii="Garamond" w:hAnsi="Garamond" w:cs="Garamond"/>
        </w:rPr>
        <w:instrText>–</w:instrText>
      </w:r>
      <w:r w:rsidR="00B8324B" w:rsidRPr="00FF02D2">
        <w:rPr>
          <w:rFonts w:ascii="Garamond" w:hAnsi="Garamond"/>
        </w:rPr>
        <w:instrText>35, https://journal.staialmaarifwaykanan.ac.id/index.php/iemj/article/view/85.","previouslyFormattedCitation":"Medi Romi Ardianto and Ahmad Zamroni, “Implikasi Ketenangan Jiwa Dan Ketentraman Hati Sebagai Faktor Yang Mempengaruhi Keberhasilan Pendidikan Bagi Remaja,” &lt;i&gt;IEMJ</w:instrText>
      </w:r>
      <w:r w:rsidR="00B8324B" w:rsidRPr="00FF02D2">
        <w:rPr>
          <w:rFonts w:ascii="Times New Roman" w:hAnsi="Times New Roman" w:cs="Times New Roman"/>
        </w:rPr>
        <w:instrText> </w:instrText>
      </w:r>
      <w:r w:rsidR="00B8324B" w:rsidRPr="00FF02D2">
        <w:rPr>
          <w:rFonts w:ascii="Garamond" w:hAnsi="Garamond"/>
        </w:rPr>
        <w:instrText>: Islamic Education Management Journal&lt;/i&gt; 1, no. 1 (February 22, 2022): 20</w:instrText>
      </w:r>
      <w:r w:rsidR="00B8324B" w:rsidRPr="00FF02D2">
        <w:rPr>
          <w:rFonts w:ascii="Garamond" w:hAnsi="Garamond" w:cs="Garamond"/>
        </w:rPr>
        <w:instrText>–</w:instrText>
      </w:r>
      <w:r w:rsidR="00B8324B" w:rsidRPr="00FF02D2">
        <w:rPr>
          <w:rFonts w:ascii="Garamond" w:hAnsi="Garamond"/>
        </w:rPr>
        <w:instrText>35, https://journal.staialmaarifwaykanan.ac.id/index.php/iemj/article/view/85."},"properties":{"noteIndex":36},"schema":"https://github.com/citation-style-language/schema/raw/master/csl-citation.json"}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Medi Romi Ardianto and Ahmad Zamroni, “Implikasi Ketenangan Jiwa Dan Ketentraman Hati Sebagai Faktor Yang Mempengaruhi Keberhasilan Pendidikan Bagi Remaja,” </w:t>
      </w:r>
      <w:r w:rsidRPr="00FF02D2">
        <w:rPr>
          <w:rFonts w:ascii="Garamond" w:hAnsi="Garamond"/>
          <w:i/>
          <w:noProof/>
        </w:rPr>
        <w:t>IEMJ</w:t>
      </w:r>
      <w:r w:rsidRPr="00FF02D2">
        <w:rPr>
          <w:rFonts w:ascii="Times New Roman" w:hAnsi="Times New Roman" w:cs="Times New Roman"/>
          <w:i/>
          <w:noProof/>
        </w:rPr>
        <w:t> </w:t>
      </w:r>
      <w:r w:rsidRPr="00FF02D2">
        <w:rPr>
          <w:rFonts w:ascii="Garamond" w:hAnsi="Garamond"/>
          <w:i/>
          <w:noProof/>
        </w:rPr>
        <w:t>: Islamic Education Management Journal</w:t>
      </w:r>
      <w:r w:rsidRPr="00FF02D2">
        <w:rPr>
          <w:rFonts w:ascii="Garamond" w:hAnsi="Garamond"/>
          <w:noProof/>
        </w:rPr>
        <w:t xml:space="preserve"> 1, no. 1 (February 22, 2022): 20–35, https://journal.staialmaarifwaykanan.ac.id/index.php/iemj/article/view/85.</w:t>
      </w:r>
      <w:r w:rsidRPr="00FF02D2">
        <w:rPr>
          <w:rFonts w:ascii="Garamond" w:hAnsi="Garamond"/>
        </w:rPr>
        <w:fldChar w:fldCharType="end"/>
      </w:r>
    </w:p>
  </w:footnote>
  <w:footnote w:id="37">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{"citationItems":[{"id":"ITEM-1","itemData":{"DOI":"10.47435/MIMBAR.V6I1.371","ISSN":"2716-3806","abstract":"Manusia dewasa ini banyak mengalami kegelisahan batin dan kegalauan jiwa. Problema hidup terlihat dan dirasakan dimana-mana, bukan saja karena kebutuhan meningkat dan persaingan hidup yang semakin kompetitif, tetapi karena ulah sementara pihak mengusik kedamaian dengan berbagai dalih atau menawarkan aneka ide yang saling bertentangan dan membingungkan. Hati dan jiwa yang gelisah bukan saja dimonopoli dan dirasakan oleh orang-orang miskin tetapi juga oleh orang-orang kaya secara materi namun hampa dan kosong jiwanya. Dalam islam salah satu solusi untuk menghilangkan perasaan tidak tenang dan tidak nyaman adalah dengan berzikir mengingat kepada Allah dalam arti yang luas. Berkaitan dengan zikir sebagai penenang jiwa, hal tersebut telah disebutkan didalam Al-Qur’an dan hadis Rasulullah dalam berbagai tuntunan dan petunjuknya bahwa untuk mengatasi kegelisahan batin dan kegalauan jiwa. Islam telah memberikan solusi dari berbagai persoalan yang dihadapi oleh manusia termasuk kondisi psikologi yang tidak tenang, dan agar manusia merasakan ketenangan dan kedamaian dalam hati maka diperintahkan untuk berzikir kepada Allah swt. Dengan zikir dan doa, akan menumbuhkan sifat optimis dan percaya diri dan itulah yang dapat mengusir kegelisahan jiwa, karena itu, dewasa ini banyak pakar dan ilmuan yang berdasarkan hasil penelitian mereka telah membuktikan hal itu","author":[{"dropping-particle":"","family":"Burhanuddin","given":"","non-dropping-particle":"","parse-names":false,"suffix":""}],"container-title":"Jurnal Mimbar: Media Intelektual Muslim dan Bimbingan Rohani","id":"ITEM-1","issue":"1","issued":{"date-parts":[["2020","4","30"]]},"page":"1-25","publisher":"Institut Agama Islam Muhammadiyah Sinjai","title":"Zikir Dan Ketenangan Jiwa (Solusi Islam Mengatasi Kegelisahan dan Kegalauan Jiwa)","type":"article-journal","volume":"6"},"uris":["http://www.mendeley.com/documents/?uuid=c4445df7-5ecd-3ca0-b88b-75f9844c5d96"]}],"mendeley":{"formattedCitation":"Burhanuddin, “Zikir Dan Ketenangan Jiwa (Solusi Islam Mengatasi Kegelisahan Dan Kegalauan Jiwa),” &lt;i&gt;Jurnal Mimbar: Media Intelektual Muslim Dan Bimbingan Rohani&lt;/i&gt; 6, no. 1 (April 30, 2020): 1–25, https://doi.org/10.47435/MIMBAR.V6I1.371.","plainTextFormattedCitation":"Burhanuddin, “Zikir Dan Ketenangan Jiwa (Solusi Islam Mengatasi Kegelisahan Dan Kegalauan Jiwa),” Jurnal Mimbar: Media Intelektual Muslim Dan Bimbingan Rohani 6, no. 1 (April 30, 2020): 1–25, https://doi.org/10.47435/MIMBAR.V6I1.371.","previouslyFormattedCitation":"Burhanuddin, “Zikir Dan Ketenangan Jiwa (Solusi Islam Mengatasi Kegelisahan Dan Kegalauan Jiwa),” &lt;i&gt;Jurnal Mimbar: Media Intelektual Muslim Dan Bimbingan Rohani&lt;/i&gt; 6, no. 1 (April 30, 2020): 1–25, https://doi.org/10.47435/MIMBAR.V6I1.371."},"properties":{"noteIndex":37},"schema":"https://github.com/citation-style-language/schema/raw/master/csl-citation.json"}</w:instrText>
      </w:r>
      <w:r w:rsidRPr="00FF02D2">
        <w:rPr>
          <w:rFonts w:ascii="Garamond" w:hAnsi="Garamond"/>
        </w:rPr>
        <w:fldChar w:fldCharType="separate"/>
      </w:r>
      <w:r w:rsidRPr="00FF02D2">
        <w:rPr>
          <w:rFonts w:ascii="Garamond" w:hAnsi="Garamond"/>
          <w:noProof/>
        </w:rPr>
        <w:t xml:space="preserve">Burhanuddin, “Zikir Dan Ketenangan Jiwa (Solusi Islam Mengatasi Kegelisahan Dan Kegalauan Jiwa),” </w:t>
      </w:r>
      <w:r w:rsidRPr="00FF02D2">
        <w:rPr>
          <w:rFonts w:ascii="Garamond" w:hAnsi="Garamond"/>
          <w:i/>
          <w:noProof/>
        </w:rPr>
        <w:t>Jurnal Mimbar: Media Intelektual Muslim Dan Bimbingan Rohani</w:t>
      </w:r>
      <w:r w:rsidRPr="00FF02D2">
        <w:rPr>
          <w:rFonts w:ascii="Garamond" w:hAnsi="Garamond"/>
          <w:noProof/>
        </w:rPr>
        <w:t xml:space="preserve"> 6, no. 1 (April 30, 2020): 1–25, https://doi.org/10.47435/MIMBAR.V6I1.371.</w:t>
      </w:r>
      <w:r w:rsidRPr="00FF02D2">
        <w:rPr>
          <w:rFonts w:ascii="Garamond" w:hAnsi="Garamond"/>
        </w:rPr>
        <w:fldChar w:fldCharType="end"/>
      </w:r>
    </w:p>
  </w:footnote>
  <w:footnote w:id="38">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{"citationItems":[{"id":"ITEM-1","itemData":{"DOI":"10.30631/al-risalah.v14i02.452","ISSN":"2540-9522","author":[{"dropping-particle":"","family":"Sri Wahyuni","given":"","non-dropping-particle":"","parse-names":false,"suffix":""}],"container-title":"Al-Risalah","id":"ITEM-1","issue":"02","issued":{"date-parts":[["2014"]]},"page":"293-306","title":"Kontroversi Perkawinan Beda Agama di Indonesia","type":"article-journal","volume":"14"},"uris":["http://www.mendeley.com/documents/?uuid=a3f2dba6-087b-4de3-b5bd-7a7399c68b4e"]}],"mendeley":{"formattedCitation":"Sri Wahyuni, “Kontroversi Perkawinan Beda Agama Di Indonesia.”","plainTextFormattedCitation":"Sri Wahyuni, “Kontroversi Perkawinan Beda Agama Di Indonesia.”","previouslyFormattedCitation":"Sri Wahyuni, “Kontroversi Perkawinan Beda Agama Di Indonesia.”"},"properties":{"noteIndex":38},"schema":"https://github.com/citation-style-language/schema/raw/master/csl-citation.json"}</w:instrText>
      </w:r>
      <w:r w:rsidRPr="00FF02D2">
        <w:rPr>
          <w:rFonts w:ascii="Garamond" w:hAnsi="Garamond"/>
        </w:rPr>
        <w:fldChar w:fldCharType="separate"/>
      </w:r>
      <w:r w:rsidRPr="00FF02D2">
        <w:rPr>
          <w:rFonts w:ascii="Garamond" w:hAnsi="Garamond"/>
          <w:noProof/>
        </w:rPr>
        <w:t>Sri Wahyuni, “Kontroversi Perkawinan Beda Agama Di Indonesia.”</w:t>
      </w:r>
      <w:r w:rsidRPr="00FF02D2">
        <w:rPr>
          <w:rFonts w:ascii="Garamond" w:hAnsi="Garamond"/>
        </w:rPr>
        <w:fldChar w:fldCharType="end"/>
      </w:r>
    </w:p>
  </w:footnote>
  <w:footnote w:id="39">
    <w:p w:rsidR="005C33FF" w:rsidRPr="00FF02D2" w:rsidRDefault="005C33FF" w:rsidP="008D1526">
      <w:pPr>
        <w:pStyle w:val="FootnoteText"/>
        <w:ind w:firstLine="540"/>
        <w:jc w:val="both"/>
        <w:rPr>
          <w:rFonts w:ascii="Garamond" w:hAnsi="Garamond"/>
        </w:rPr>
      </w:pPr>
      <w:r w:rsidRPr="00FF02D2">
        <w:rPr>
          <w:rStyle w:val="FootnoteReference"/>
          <w:rFonts w:ascii="Garamond" w:hAnsi="Garamond"/>
        </w:rPr>
        <w:footnoteRef/>
      </w:r>
      <w:r w:rsidRPr="00FF02D2">
        <w:rPr>
          <w:rFonts w:ascii="Garamond" w:hAnsi="Garamond"/>
        </w:rPr>
        <w:t xml:space="preserve"> </w:t>
      </w:r>
      <w:r w:rsidRPr="00FF02D2">
        <w:rPr>
          <w:rFonts w:ascii="Garamond" w:hAnsi="Garamond"/>
        </w:rPr>
        <w:fldChar w:fldCharType="begin" w:fldLock="1"/>
      </w:r>
      <w:r w:rsidR="00B8324B" w:rsidRPr="00FF02D2">
        <w:rPr>
          <w:rFonts w:ascii="Garamond" w:hAnsi="Garamond"/>
        </w:rPr>
        <w:instrText>ADDIN CSL_CITATION {"citationItems":[{"id":"ITEM-1","itemData":{"id":"ITEM-1","issued":{"date-parts":[["2006"]]},"title":"Undang-undang Nomor 3 Tahun 2006 tentang Perubahan Atas Undang-Undang Nomor 7 Tahun 1989 Tentang Peradilan Agama","type":"legislation"},"uris":["http://www.mendeley.com/documents/?uuid=056329ba-cc8e-3236-b79e-bae18ce237fa"]}],"mendeley":{"formattedCitation":"“Undang-Undang Nomor 3 Tahun 2006 Tentang Perubahan Atas Undang-Undang Nomor 7 Tahun 1989 Tentang Peradilan Agama” (2006).","plainTextFormattedCitation":"“Undang-Undang Nomor 3 Tahun 2006 Tentang Perubahan Atas Undang-Undang Nomor 7 Tahun 1989 Tentang Peradilan Agama” (2006).","previouslyFormattedCitation":"“Undang-Undang Nomor 3 Tahun 2006 Tentang Perubahan Atas Undang-Undang Nomor 7 Tahun 1989 Tentang Peradilan Agama” (2006)."},"properties":{"noteIndex":39},"schema":"https://github.com/citation-style-language/schema/raw/master/csl-citation.json"}</w:instrText>
      </w:r>
      <w:r w:rsidRPr="00FF02D2">
        <w:rPr>
          <w:rFonts w:ascii="Garamond" w:hAnsi="Garamond"/>
        </w:rPr>
        <w:fldChar w:fldCharType="separate"/>
      </w:r>
      <w:r w:rsidRPr="00FF02D2">
        <w:rPr>
          <w:rFonts w:ascii="Garamond" w:hAnsi="Garamond"/>
          <w:noProof/>
        </w:rPr>
        <w:t>“Undang-Undang Nomor 3 Tahun 2006 Tentang Perubahan Atas Undang-Undang Nomor 7 Tahun 1989 Tentang Peradilan Agama” (2006).</w:t>
      </w:r>
      <w:r w:rsidRPr="00FF02D2">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3A" w:rsidRPr="004B673A" w:rsidRDefault="004B673A" w:rsidP="007F0524">
    <w:pPr>
      <w:pStyle w:val="Header"/>
      <w:rPr>
        <w:rFonts w:ascii="Garamond" w:hAnsi="Garamond"/>
        <w:sz w:val="20"/>
        <w:szCs w:val="20"/>
      </w:rPr>
    </w:pPr>
    <w:r>
      <w:rPr>
        <w:rFonts w:ascii="Garamond" w:hAnsi="Garamond"/>
        <w:sz w:val="20"/>
        <w:szCs w:val="20"/>
      </w:rPr>
      <w:t xml:space="preserve">Al-Istinbath: Jurnal Hukum Islam, Vol. </w:t>
    </w:r>
    <w:r w:rsidR="007F0524">
      <w:rPr>
        <w:rFonts w:ascii="Garamond" w:hAnsi="Garamond"/>
        <w:sz w:val="20"/>
        <w:szCs w:val="20"/>
      </w:rPr>
      <w:t>x,</w:t>
    </w:r>
    <w:r>
      <w:rPr>
        <w:rFonts w:ascii="Garamond" w:hAnsi="Garamond"/>
        <w:sz w:val="20"/>
        <w:szCs w:val="20"/>
      </w:rPr>
      <w:t xml:space="preserve"> No. </w:t>
    </w:r>
    <w:r w:rsidR="007F0524">
      <w:rPr>
        <w:rFonts w:ascii="Garamond" w:hAnsi="Garamond"/>
        <w:sz w:val="20"/>
        <w:szCs w:val="20"/>
      </w:rPr>
      <w:t>x,</w:t>
    </w:r>
    <w:r>
      <w:rPr>
        <w:rFonts w:ascii="Garamond" w:hAnsi="Garamond"/>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9A" w:rsidRPr="004B673A" w:rsidRDefault="0053290A" w:rsidP="004B673A">
    <w:pPr>
      <w:pStyle w:val="Header"/>
      <w:jc w:val="right"/>
      <w:rPr>
        <w:rFonts w:ascii="Garamond" w:hAnsi="Garamond"/>
        <w:sz w:val="20"/>
        <w:szCs w:val="20"/>
      </w:rPr>
    </w:pPr>
    <w:r>
      <w:rPr>
        <w:rFonts w:ascii="Garamond" w:hAnsi="Garamond"/>
        <w:sz w:val="20"/>
        <w:szCs w:val="20"/>
      </w:rPr>
      <w:t>Kemas Muhammad Gemilang</w:t>
    </w:r>
    <w:r w:rsidR="004B673A" w:rsidRPr="004B673A">
      <w:rPr>
        <w:rFonts w:ascii="Garamond" w:hAnsi="Garamond"/>
        <w:sz w:val="20"/>
        <w:szCs w:val="20"/>
      </w:rPr>
      <w: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hemeColor="text1"/>
      </w:tblBorders>
      <w:tblLook w:val="04A0" w:firstRow="1" w:lastRow="0" w:firstColumn="1" w:lastColumn="0" w:noHBand="0" w:noVBand="1"/>
    </w:tblPr>
    <w:tblGrid>
      <w:gridCol w:w="2735"/>
      <w:gridCol w:w="264"/>
      <w:gridCol w:w="4346"/>
    </w:tblGrid>
    <w:tr w:rsidR="007F0524" w:rsidRPr="00085D80" w:rsidTr="00634329">
      <w:tc>
        <w:tcPr>
          <w:tcW w:w="2880" w:type="dxa"/>
        </w:tcPr>
        <w:p w:rsidR="007F0524" w:rsidRPr="00085D80" w:rsidRDefault="007F0524" w:rsidP="00634329">
          <w:pPr>
            <w:rPr>
              <w:rFonts w:ascii="Cambria" w:hAnsi="Cambria"/>
              <w:b/>
              <w:bCs/>
              <w:sz w:val="40"/>
              <w:szCs w:val="48"/>
              <w:u w:val="single"/>
            </w:rPr>
          </w:pPr>
          <w:r w:rsidRPr="00085D80">
            <w:rPr>
              <w:rFonts w:ascii="Cambria" w:hAnsi="Cambria"/>
              <w:b/>
              <w:bCs/>
              <w:sz w:val="40"/>
              <w:szCs w:val="48"/>
              <w:u w:val="single"/>
            </w:rPr>
            <w:t>Al-Istinbath</w:t>
          </w:r>
        </w:p>
        <w:p w:rsidR="007F0524" w:rsidRPr="00085D80" w:rsidRDefault="007F0524" w:rsidP="00634329">
          <w:pPr>
            <w:rPr>
              <w:rFonts w:ascii="Cambria" w:hAnsi="Cambria"/>
              <w:sz w:val="40"/>
              <w:szCs w:val="48"/>
            </w:rPr>
          </w:pPr>
          <w:r w:rsidRPr="00085D80">
            <w:rPr>
              <w:rFonts w:ascii="Cambria" w:hAnsi="Cambria"/>
              <w:sz w:val="26"/>
              <w:szCs w:val="34"/>
            </w:rPr>
            <w:t>Jurnal Hukum Islam</w:t>
          </w:r>
        </w:p>
      </w:tc>
      <w:tc>
        <w:tcPr>
          <w:tcW w:w="271" w:type="dxa"/>
        </w:tcPr>
        <w:p w:rsidR="007F0524" w:rsidRPr="00085D80" w:rsidRDefault="007F0524" w:rsidP="00634329">
          <w:pPr>
            <w:rPr>
              <w:rFonts w:ascii="Garamond" w:hAnsi="Garamond"/>
            </w:rPr>
          </w:pPr>
        </w:p>
      </w:tc>
      <w:tc>
        <w:tcPr>
          <w:tcW w:w="4362" w:type="dxa"/>
        </w:tcPr>
        <w:p w:rsidR="007F0524" w:rsidRPr="00512364" w:rsidRDefault="007F0524" w:rsidP="007F0524">
          <w:pPr>
            <w:tabs>
              <w:tab w:val="left" w:pos="1350"/>
              <w:tab w:val="right" w:pos="7483"/>
            </w:tabs>
            <w:jc w:val="right"/>
            <w:rPr>
              <w:rFonts w:ascii="Garamond" w:hAnsi="Garamond"/>
              <w:sz w:val="20"/>
              <w:szCs w:val="20"/>
            </w:rPr>
          </w:pPr>
          <w:r w:rsidRPr="00085D80">
            <w:rPr>
              <w:rFonts w:ascii="Garamond" w:hAnsi="Garamond"/>
              <w:sz w:val="20"/>
              <w:szCs w:val="20"/>
            </w:rPr>
            <w:t xml:space="preserve">Vol. </w:t>
          </w:r>
          <w:r>
            <w:rPr>
              <w:rFonts w:ascii="Garamond" w:hAnsi="Garamond"/>
              <w:sz w:val="20"/>
              <w:szCs w:val="20"/>
            </w:rPr>
            <w:t>x</w:t>
          </w:r>
          <w:r w:rsidRPr="00085D80">
            <w:rPr>
              <w:rFonts w:ascii="Garamond" w:hAnsi="Garamond"/>
              <w:sz w:val="20"/>
              <w:szCs w:val="20"/>
            </w:rPr>
            <w:t xml:space="preserve">. No. </w:t>
          </w:r>
          <w:r>
            <w:rPr>
              <w:rFonts w:ascii="Garamond" w:hAnsi="Garamond"/>
              <w:sz w:val="20"/>
              <w:szCs w:val="20"/>
            </w:rPr>
            <w:t>x</w:t>
          </w:r>
          <w:r w:rsidRPr="00085D80">
            <w:rPr>
              <w:rFonts w:ascii="Garamond" w:hAnsi="Garamond"/>
              <w:sz w:val="20"/>
              <w:szCs w:val="20"/>
            </w:rPr>
            <w:t xml:space="preserve">, </w:t>
          </w:r>
          <w:r>
            <w:rPr>
              <w:rFonts w:ascii="Garamond" w:hAnsi="Garamond"/>
              <w:sz w:val="20"/>
              <w:szCs w:val="20"/>
            </w:rPr>
            <w:t>…</w:t>
          </w:r>
          <w:r w:rsidRPr="00085D80">
            <w:rPr>
              <w:rFonts w:ascii="Garamond" w:hAnsi="Garamond"/>
              <w:sz w:val="20"/>
              <w:szCs w:val="20"/>
            </w:rPr>
            <w:t xml:space="preserve"> </w:t>
          </w:r>
          <w:r>
            <w:rPr>
              <w:rFonts w:ascii="Garamond" w:hAnsi="Garamond"/>
              <w:sz w:val="20"/>
              <w:szCs w:val="20"/>
            </w:rPr>
            <w:t>….</w:t>
          </w:r>
        </w:p>
        <w:p w:rsidR="007F0524" w:rsidRPr="00085D80" w:rsidRDefault="007F0524" w:rsidP="00634329">
          <w:pPr>
            <w:tabs>
              <w:tab w:val="left" w:pos="1350"/>
              <w:tab w:val="right" w:pos="7483"/>
            </w:tabs>
            <w:jc w:val="right"/>
            <w:rPr>
              <w:rFonts w:ascii="Garamond" w:hAnsi="Garamond"/>
              <w:sz w:val="20"/>
              <w:szCs w:val="20"/>
            </w:rPr>
          </w:pPr>
          <w:r w:rsidRPr="00085D80">
            <w:rPr>
              <w:rFonts w:ascii="Garamond" w:hAnsi="Garamond"/>
              <w:sz w:val="20"/>
              <w:szCs w:val="20"/>
            </w:rPr>
            <w:t>P-ISSN: 2548-3374 (p), 25483382 (e)</w:t>
          </w:r>
        </w:p>
        <w:p w:rsidR="007F0524" w:rsidRPr="00085D80" w:rsidRDefault="007F0524" w:rsidP="00634329">
          <w:pPr>
            <w:tabs>
              <w:tab w:val="left" w:pos="1350"/>
              <w:tab w:val="right" w:pos="7483"/>
            </w:tabs>
            <w:jc w:val="right"/>
            <w:rPr>
              <w:rFonts w:ascii="Garamond" w:hAnsi="Garamond"/>
              <w:sz w:val="20"/>
              <w:szCs w:val="20"/>
            </w:rPr>
          </w:pPr>
          <w:r w:rsidRPr="00085D80">
            <w:rPr>
              <w:rFonts w:ascii="Garamond" w:hAnsi="Garamond"/>
              <w:sz w:val="20"/>
              <w:szCs w:val="20"/>
            </w:rPr>
            <w:t>http://journal.iaincurup.ac.id/index.php/alistinbath</w:t>
          </w:r>
        </w:p>
      </w:tc>
    </w:tr>
  </w:tbl>
  <w:p w:rsidR="007F0524" w:rsidRPr="00085D80" w:rsidRDefault="007F0524" w:rsidP="007F0524">
    <w:pPr>
      <w:pStyle w:val="Header"/>
      <w:tabs>
        <w:tab w:val="clear" w:pos="4680"/>
        <w:tab w:val="clear" w:pos="9360"/>
        <w:tab w:val="left" w:pos="54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0BB"/>
    <w:multiLevelType w:val="hybridMultilevel"/>
    <w:tmpl w:val="8C7039C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DA06DB6"/>
    <w:multiLevelType w:val="hybridMultilevel"/>
    <w:tmpl w:val="88DE4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A0"/>
    <w:rsid w:val="00002D00"/>
    <w:rsid w:val="00020CD3"/>
    <w:rsid w:val="00031BA3"/>
    <w:rsid w:val="00056EFD"/>
    <w:rsid w:val="000668CD"/>
    <w:rsid w:val="000C0E5B"/>
    <w:rsid w:val="000E660C"/>
    <w:rsid w:val="00157936"/>
    <w:rsid w:val="001C3E2F"/>
    <w:rsid w:val="001D0F9F"/>
    <w:rsid w:val="00201FC5"/>
    <w:rsid w:val="0023111D"/>
    <w:rsid w:val="00234EA8"/>
    <w:rsid w:val="00283366"/>
    <w:rsid w:val="00295061"/>
    <w:rsid w:val="002A316E"/>
    <w:rsid w:val="002D1A40"/>
    <w:rsid w:val="002F7CE2"/>
    <w:rsid w:val="00310893"/>
    <w:rsid w:val="00331F87"/>
    <w:rsid w:val="003363B0"/>
    <w:rsid w:val="00350D9B"/>
    <w:rsid w:val="0035149D"/>
    <w:rsid w:val="00373504"/>
    <w:rsid w:val="003803F4"/>
    <w:rsid w:val="003E69D7"/>
    <w:rsid w:val="00470B70"/>
    <w:rsid w:val="004B47A0"/>
    <w:rsid w:val="004B673A"/>
    <w:rsid w:val="00502045"/>
    <w:rsid w:val="00514431"/>
    <w:rsid w:val="0053290A"/>
    <w:rsid w:val="005348B7"/>
    <w:rsid w:val="00551873"/>
    <w:rsid w:val="0055557A"/>
    <w:rsid w:val="0055727A"/>
    <w:rsid w:val="00563A30"/>
    <w:rsid w:val="005A0886"/>
    <w:rsid w:val="005C33FF"/>
    <w:rsid w:val="005C7571"/>
    <w:rsid w:val="0062030F"/>
    <w:rsid w:val="00622E68"/>
    <w:rsid w:val="00663296"/>
    <w:rsid w:val="006861D6"/>
    <w:rsid w:val="006A7EA6"/>
    <w:rsid w:val="00740E15"/>
    <w:rsid w:val="00774FCA"/>
    <w:rsid w:val="007F0524"/>
    <w:rsid w:val="008521E7"/>
    <w:rsid w:val="00874552"/>
    <w:rsid w:val="00874F38"/>
    <w:rsid w:val="008D1526"/>
    <w:rsid w:val="0090780F"/>
    <w:rsid w:val="009851EA"/>
    <w:rsid w:val="00A75DC8"/>
    <w:rsid w:val="00B63726"/>
    <w:rsid w:val="00B72224"/>
    <w:rsid w:val="00B8324B"/>
    <w:rsid w:val="00BA1829"/>
    <w:rsid w:val="00BB55F6"/>
    <w:rsid w:val="00BC21C8"/>
    <w:rsid w:val="00BC7F8D"/>
    <w:rsid w:val="00BF1093"/>
    <w:rsid w:val="00BF2D2E"/>
    <w:rsid w:val="00C33863"/>
    <w:rsid w:val="00C532D9"/>
    <w:rsid w:val="00C53EFE"/>
    <w:rsid w:val="00C657D6"/>
    <w:rsid w:val="00C9077C"/>
    <w:rsid w:val="00CA2424"/>
    <w:rsid w:val="00CC7A5A"/>
    <w:rsid w:val="00CF0701"/>
    <w:rsid w:val="00D67F24"/>
    <w:rsid w:val="00DA6A74"/>
    <w:rsid w:val="00E52F1E"/>
    <w:rsid w:val="00E7186C"/>
    <w:rsid w:val="00ED2998"/>
    <w:rsid w:val="00F46CCA"/>
    <w:rsid w:val="00F94AFC"/>
    <w:rsid w:val="00FC3AB4"/>
    <w:rsid w:val="00FD0C2D"/>
    <w:rsid w:val="00FD2E8B"/>
    <w:rsid w:val="00FD7B31"/>
    <w:rsid w:val="00FF0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068643-3FE1-445D-A14E-00D0B271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A0"/>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A0"/>
    <w:pPr>
      <w:tabs>
        <w:tab w:val="center" w:pos="4680"/>
        <w:tab w:val="right" w:pos="9360"/>
      </w:tabs>
    </w:pPr>
  </w:style>
  <w:style w:type="character" w:customStyle="1" w:styleId="HeaderChar">
    <w:name w:val="Header Char"/>
    <w:basedOn w:val="DefaultParagraphFont"/>
    <w:link w:val="Header"/>
    <w:uiPriority w:val="99"/>
    <w:rsid w:val="004B47A0"/>
    <w:rPr>
      <w:rFonts w:ascii="Calibri" w:eastAsia="Times New Roman" w:hAnsi="Calibri" w:cs="Arial"/>
    </w:rPr>
  </w:style>
  <w:style w:type="paragraph" w:styleId="ListParagraph">
    <w:name w:val="List Paragraph"/>
    <w:basedOn w:val="Normal"/>
    <w:uiPriority w:val="34"/>
    <w:qFormat/>
    <w:rsid w:val="004B47A0"/>
    <w:pPr>
      <w:ind w:left="720"/>
      <w:contextualSpacing/>
    </w:pPr>
  </w:style>
  <w:style w:type="paragraph" w:styleId="BalloonText">
    <w:name w:val="Balloon Text"/>
    <w:basedOn w:val="Normal"/>
    <w:link w:val="BalloonTextChar"/>
    <w:uiPriority w:val="99"/>
    <w:semiHidden/>
    <w:unhideWhenUsed/>
    <w:rsid w:val="004B4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A0"/>
    <w:rPr>
      <w:rFonts w:ascii="Tahoma" w:eastAsia="Times New Roman" w:hAnsi="Tahoma" w:cs="Tahoma"/>
      <w:sz w:val="16"/>
      <w:szCs w:val="16"/>
    </w:rPr>
  </w:style>
  <w:style w:type="paragraph" w:customStyle="1" w:styleId="Default">
    <w:name w:val="Default"/>
    <w:rsid w:val="00FD0C2D"/>
    <w:pPr>
      <w:autoSpaceDE w:val="0"/>
      <w:autoSpaceDN w:val="0"/>
      <w:adjustRightInd w:val="0"/>
      <w:spacing w:after="0" w:line="240" w:lineRule="auto"/>
    </w:pPr>
    <w:rPr>
      <w:rFonts w:ascii="Garamond" w:hAnsi="Garamond" w:cs="Garamond"/>
      <w:color w:val="000000"/>
      <w:sz w:val="24"/>
      <w:szCs w:val="24"/>
    </w:rPr>
  </w:style>
  <w:style w:type="paragraph" w:customStyle="1" w:styleId="Normal1">
    <w:name w:val="Normal1"/>
    <w:rsid w:val="005A0886"/>
    <w:pPr>
      <w:spacing w:after="160" w:line="256" w:lineRule="auto"/>
    </w:pPr>
    <w:rPr>
      <w:rFonts w:ascii="Calibri" w:eastAsia="Times New Roman" w:hAnsi="Calibri" w:cs="Calibri"/>
      <w:color w:val="000000"/>
      <w:lang w:val="id-ID"/>
    </w:rPr>
  </w:style>
  <w:style w:type="paragraph" w:styleId="Footer">
    <w:name w:val="footer"/>
    <w:basedOn w:val="Normal"/>
    <w:link w:val="FooterChar"/>
    <w:uiPriority w:val="99"/>
    <w:unhideWhenUsed/>
    <w:rsid w:val="005A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886"/>
    <w:rPr>
      <w:rFonts w:ascii="Calibri" w:eastAsia="Times New Roman" w:hAnsi="Calibri" w:cs="Arial"/>
    </w:rPr>
  </w:style>
  <w:style w:type="paragraph" w:styleId="HTMLPreformatted">
    <w:name w:val="HTML Preformatted"/>
    <w:basedOn w:val="Normal"/>
    <w:link w:val="HTMLPreformattedChar"/>
    <w:uiPriority w:val="99"/>
    <w:semiHidden/>
    <w:unhideWhenUsed/>
    <w:rsid w:val="00ED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D2998"/>
    <w:rPr>
      <w:rFonts w:ascii="Courier New" w:eastAsia="Times New Roman" w:hAnsi="Courier New" w:cs="Courier New"/>
      <w:sz w:val="20"/>
      <w:szCs w:val="20"/>
    </w:rPr>
  </w:style>
  <w:style w:type="character" w:customStyle="1" w:styleId="y2iqfc">
    <w:name w:val="y2iqfc"/>
    <w:basedOn w:val="DefaultParagraphFont"/>
    <w:rsid w:val="00ED2998"/>
  </w:style>
  <w:style w:type="paragraph" w:styleId="FootnoteText">
    <w:name w:val="footnote text"/>
    <w:basedOn w:val="Normal"/>
    <w:link w:val="FootnoteTextChar"/>
    <w:uiPriority w:val="99"/>
    <w:semiHidden/>
    <w:unhideWhenUsed/>
    <w:rsid w:val="0037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504"/>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373504"/>
    <w:rPr>
      <w:vertAlign w:val="superscript"/>
    </w:rPr>
  </w:style>
  <w:style w:type="paragraph" w:styleId="Bibliography">
    <w:name w:val="Bibliography"/>
    <w:basedOn w:val="Normal"/>
    <w:next w:val="Normal"/>
    <w:uiPriority w:val="37"/>
    <w:unhideWhenUsed/>
    <w:rsid w:val="00CC7A5A"/>
    <w:pPr>
      <w:spacing w:after="0" w:line="240" w:lineRule="auto"/>
      <w:ind w:left="720" w:hanging="720"/>
    </w:pPr>
  </w:style>
  <w:style w:type="character" w:styleId="Emphasis">
    <w:name w:val="Emphasis"/>
    <w:basedOn w:val="DefaultParagraphFont"/>
    <w:uiPriority w:val="20"/>
    <w:qFormat/>
    <w:rsid w:val="00774FCA"/>
    <w:rPr>
      <w:i/>
      <w:iCs/>
    </w:rPr>
  </w:style>
  <w:style w:type="character" w:styleId="Hyperlink">
    <w:name w:val="Hyperlink"/>
    <w:basedOn w:val="DefaultParagraphFont"/>
    <w:uiPriority w:val="99"/>
    <w:semiHidden/>
    <w:unhideWhenUsed/>
    <w:rsid w:val="00774FCA"/>
    <w:rPr>
      <w:color w:val="0000FF"/>
      <w:u w:val="single"/>
    </w:rPr>
  </w:style>
  <w:style w:type="table" w:styleId="TableGrid">
    <w:name w:val="Table Grid"/>
    <w:basedOn w:val="TableNormal"/>
    <w:uiPriority w:val="59"/>
    <w:rsid w:val="007F0524"/>
    <w:pPr>
      <w:spacing w:after="0" w:line="240" w:lineRule="auto"/>
    </w:pPr>
    <w:rPr>
      <w:rFonts w:eastAsia="Times New Roman" w:cs="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2E"/>
    <w:rPr>
      <w:b/>
      <w:bCs/>
    </w:rPr>
  </w:style>
  <w:style w:type="character" w:customStyle="1" w:styleId="highlight">
    <w:name w:val="highlight"/>
    <w:basedOn w:val="DefaultParagraphFont"/>
    <w:rsid w:val="00C33863"/>
  </w:style>
  <w:style w:type="character" w:customStyle="1" w:styleId="pa9ggf">
    <w:name w:val="pa9ggf"/>
    <w:basedOn w:val="DefaultParagraphFont"/>
    <w:rsid w:val="005C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87206">
      <w:bodyDiv w:val="1"/>
      <w:marLeft w:val="0"/>
      <w:marRight w:val="0"/>
      <w:marTop w:val="0"/>
      <w:marBottom w:val="0"/>
      <w:divBdr>
        <w:top w:val="none" w:sz="0" w:space="0" w:color="auto"/>
        <w:left w:val="none" w:sz="0" w:space="0" w:color="auto"/>
        <w:bottom w:val="none" w:sz="0" w:space="0" w:color="auto"/>
        <w:right w:val="none" w:sz="0" w:space="0" w:color="auto"/>
      </w:divBdr>
    </w:div>
    <w:div w:id="615527398">
      <w:bodyDiv w:val="1"/>
      <w:marLeft w:val="0"/>
      <w:marRight w:val="0"/>
      <w:marTop w:val="0"/>
      <w:marBottom w:val="0"/>
      <w:divBdr>
        <w:top w:val="none" w:sz="0" w:space="0" w:color="auto"/>
        <w:left w:val="none" w:sz="0" w:space="0" w:color="auto"/>
        <w:bottom w:val="none" w:sz="0" w:space="0" w:color="auto"/>
        <w:right w:val="none" w:sz="0" w:space="0" w:color="auto"/>
      </w:divBdr>
    </w:div>
    <w:div w:id="1205293730">
      <w:bodyDiv w:val="1"/>
      <w:marLeft w:val="0"/>
      <w:marRight w:val="0"/>
      <w:marTop w:val="0"/>
      <w:marBottom w:val="0"/>
      <w:divBdr>
        <w:top w:val="none" w:sz="0" w:space="0" w:color="auto"/>
        <w:left w:val="none" w:sz="0" w:space="0" w:color="auto"/>
        <w:bottom w:val="none" w:sz="0" w:space="0" w:color="auto"/>
        <w:right w:val="none" w:sz="0" w:space="0" w:color="auto"/>
      </w:divBdr>
    </w:div>
    <w:div w:id="1206716378">
      <w:bodyDiv w:val="1"/>
      <w:marLeft w:val="0"/>
      <w:marRight w:val="0"/>
      <w:marTop w:val="0"/>
      <w:marBottom w:val="0"/>
      <w:divBdr>
        <w:top w:val="none" w:sz="0" w:space="0" w:color="auto"/>
        <w:left w:val="none" w:sz="0" w:space="0" w:color="auto"/>
        <w:bottom w:val="none" w:sz="0" w:space="0" w:color="auto"/>
        <w:right w:val="none" w:sz="0" w:space="0" w:color="auto"/>
      </w:divBdr>
    </w:div>
    <w:div w:id="1784379453">
      <w:bodyDiv w:val="1"/>
      <w:marLeft w:val="0"/>
      <w:marRight w:val="0"/>
      <w:marTop w:val="0"/>
      <w:marBottom w:val="0"/>
      <w:divBdr>
        <w:top w:val="none" w:sz="0" w:space="0" w:color="auto"/>
        <w:left w:val="none" w:sz="0" w:space="0" w:color="auto"/>
        <w:bottom w:val="none" w:sz="0" w:space="0" w:color="auto"/>
        <w:right w:val="none" w:sz="0" w:space="0" w:color="auto"/>
      </w:divBdr>
    </w:div>
    <w:div w:id="2023315862">
      <w:bodyDiv w:val="1"/>
      <w:marLeft w:val="0"/>
      <w:marRight w:val="0"/>
      <w:marTop w:val="0"/>
      <w:marBottom w:val="0"/>
      <w:divBdr>
        <w:top w:val="none" w:sz="0" w:space="0" w:color="auto"/>
        <w:left w:val="none" w:sz="0" w:space="0" w:color="auto"/>
        <w:bottom w:val="none" w:sz="0" w:space="0" w:color="auto"/>
        <w:right w:val="none" w:sz="0" w:space="0" w:color="auto"/>
      </w:divBdr>
    </w:div>
    <w:div w:id="21441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s.muhammad.gemilang@uin-susk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7CB3DC9-8030-41CF-8B58-80F7000A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5870</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alistinbath</dc:creator>
  <cp:lastModifiedBy>Kemas M Gemilang</cp:lastModifiedBy>
  <cp:revision>2</cp:revision>
  <cp:lastPrinted>2022-01-06T14:10:00Z</cp:lastPrinted>
  <dcterms:created xsi:type="dcterms:W3CDTF">2023-08-08T08:11:00Z</dcterms:created>
  <dcterms:modified xsi:type="dcterms:W3CDTF">2023-08-08T08:11:00Z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id="1rWu6ZVd"/&gt;&lt;style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9th edition</vt:lpwstr>
  </property>
  <property fmtid="{D5CDD505-2E9C-101B-9397-08002B2CF9AE}" pid="18" name="Mendeley Recent Style Id 7_1">
    <vt:lpwstr>http://www.zotero.org/styles/norsk-apa-manual</vt:lpwstr>
  </property>
  <property fmtid="{D5CDD505-2E9C-101B-9397-08002B2CF9AE}" pid="19" name="Mendeley Recent Style Name 7_1">
    <vt:lpwstr>Norsk APA-manual - APA 7th edition (author-date)</vt:lpwstr>
  </property>
  <property fmtid="{D5CDD505-2E9C-101B-9397-08002B2CF9AE}" pid="20" name="Mendeley Recent Style Id 8_1">
    <vt:lpwstr>http://www.zotero.org/styles/norsk-apa-manual-note</vt:lpwstr>
  </property>
  <property fmtid="{D5CDD505-2E9C-101B-9397-08002B2CF9AE}" pid="21" name="Mendeley Recent Style Name 8_1">
    <vt:lpwstr>Norsk APA-manual - APA 7th edition (note)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8b325183-def6-37e2-8157-75b7fba95f23</vt:lpwstr>
  </property>
  <property fmtid="{D5CDD505-2E9C-101B-9397-08002B2CF9AE}" pid="26" name="Mendeley Citation Style_1">
    <vt:lpwstr>http://www.zotero.org/styles/chicago-fullnote-bibliography</vt:lpwstr>
  </property>
</Properties>
</file>