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D3B" w:rsidRPr="009B08DC" w:rsidRDefault="00C96D3B" w:rsidP="00965547">
      <w:pPr>
        <w:pStyle w:val="Title"/>
        <w:rPr>
          <w:rFonts w:asciiTheme="majorBidi" w:hAnsiTheme="majorBidi" w:cstheme="majorBidi"/>
          <w:sz w:val="32"/>
          <w:szCs w:val="32"/>
        </w:rPr>
      </w:pPr>
      <w:bookmarkStart w:id="0" w:name="OLE_LINK1"/>
      <w:bookmarkStart w:id="1" w:name="OLE_LINK2"/>
      <w:r w:rsidRPr="009B08DC">
        <w:rPr>
          <w:rFonts w:asciiTheme="majorBidi" w:hAnsiTheme="majorBidi" w:cstheme="majorBidi"/>
          <w:sz w:val="32"/>
          <w:szCs w:val="32"/>
        </w:rPr>
        <w:t>E-Gold and Investment Challenges:</w:t>
      </w:r>
    </w:p>
    <w:p w:rsidR="00965547" w:rsidRDefault="00F40EAC" w:rsidP="00965547">
      <w:pPr>
        <w:pStyle w:val="Title"/>
        <w:rPr>
          <w:rFonts w:ascii="Garamond" w:hAnsi="Garamond"/>
          <w:color w:val="FF0000"/>
          <w:sz w:val="32"/>
          <w:szCs w:val="32"/>
        </w:rPr>
      </w:pPr>
      <w:r w:rsidRPr="009B08DC">
        <w:rPr>
          <w:rFonts w:asciiTheme="majorBidi" w:hAnsiTheme="majorBidi" w:cstheme="majorBidi"/>
          <w:sz w:val="32"/>
          <w:szCs w:val="32"/>
        </w:rPr>
        <w:t xml:space="preserve">How Digital Gold </w:t>
      </w:r>
      <w:r w:rsidR="00965547" w:rsidRPr="009B08DC">
        <w:rPr>
          <w:rFonts w:asciiTheme="majorBidi" w:hAnsiTheme="majorBidi" w:cstheme="majorBidi"/>
          <w:sz w:val="32"/>
          <w:szCs w:val="32"/>
        </w:rPr>
        <w:t xml:space="preserve">Works </w:t>
      </w:r>
      <w:r w:rsidR="00452441" w:rsidRPr="009B08DC">
        <w:rPr>
          <w:rFonts w:asciiTheme="majorBidi" w:hAnsiTheme="majorBidi" w:cstheme="majorBidi"/>
          <w:sz w:val="32"/>
          <w:szCs w:val="32"/>
        </w:rPr>
        <w:t xml:space="preserve">for Economic Recovery </w:t>
      </w:r>
      <w:r w:rsidR="00965547" w:rsidRPr="009B08DC">
        <w:rPr>
          <w:rFonts w:asciiTheme="majorBidi" w:hAnsiTheme="majorBidi" w:cstheme="majorBidi"/>
          <w:sz w:val="32"/>
          <w:szCs w:val="32"/>
        </w:rPr>
        <w:t>after Covid-19 Pandemic</w:t>
      </w:r>
    </w:p>
    <w:bookmarkEnd w:id="0"/>
    <w:bookmarkEnd w:id="1"/>
    <w:p w:rsidR="00D32285" w:rsidRPr="00D32285" w:rsidRDefault="00D32285" w:rsidP="00965547">
      <w:pPr>
        <w:pStyle w:val="Title"/>
        <w:spacing w:line="276" w:lineRule="auto"/>
        <w:rPr>
          <w:rFonts w:asciiTheme="majorBidi" w:eastAsia="BatangChe" w:hAnsiTheme="majorBidi" w:cstheme="majorBidi"/>
          <w:b w:val="0"/>
          <w:color w:val="000000"/>
          <w:lang w:eastAsia="ko-KR"/>
        </w:rPr>
      </w:pPr>
    </w:p>
    <w:p w:rsidR="00231CAF" w:rsidRPr="00F00273" w:rsidRDefault="00231CAF" w:rsidP="00F00273">
      <w:pPr>
        <w:pStyle w:val="Title"/>
        <w:spacing w:line="276" w:lineRule="auto"/>
        <w:rPr>
          <w:rFonts w:asciiTheme="majorBidi" w:hAnsiTheme="majorBidi" w:cstheme="majorBidi"/>
          <w:sz w:val="22"/>
          <w:szCs w:val="22"/>
          <w:vertAlign w:val="superscript"/>
        </w:rPr>
      </w:pPr>
      <w:proofErr w:type="spellStart"/>
      <w:r w:rsidRPr="00965547">
        <w:rPr>
          <w:rFonts w:asciiTheme="majorBidi" w:eastAsia="BatangChe" w:hAnsiTheme="majorBidi" w:cstheme="majorBidi"/>
          <w:bCs w:val="0"/>
          <w:color w:val="000000"/>
          <w:lang w:eastAsia="ko-KR"/>
        </w:rPr>
        <w:t>Andi</w:t>
      </w:r>
      <w:proofErr w:type="spellEnd"/>
      <w:r w:rsidRPr="00965547">
        <w:rPr>
          <w:rFonts w:asciiTheme="majorBidi" w:eastAsia="BatangChe" w:hAnsiTheme="majorBidi" w:cstheme="majorBidi"/>
          <w:bCs w:val="0"/>
          <w:color w:val="000000"/>
          <w:lang w:eastAsia="ko-KR"/>
        </w:rPr>
        <w:t xml:space="preserve"> </w:t>
      </w:r>
      <w:proofErr w:type="spellStart"/>
      <w:r w:rsidRPr="00965547">
        <w:rPr>
          <w:rFonts w:asciiTheme="majorBidi" w:eastAsia="BatangChe" w:hAnsiTheme="majorBidi" w:cstheme="majorBidi"/>
          <w:bCs w:val="0"/>
          <w:color w:val="000000"/>
          <w:lang w:eastAsia="ko-KR"/>
        </w:rPr>
        <w:t>Bahri</w:t>
      </w:r>
      <w:proofErr w:type="spellEnd"/>
      <w:r w:rsidRPr="00965547">
        <w:rPr>
          <w:rFonts w:asciiTheme="majorBidi" w:eastAsia="BatangChe" w:hAnsiTheme="majorBidi" w:cstheme="majorBidi"/>
          <w:bCs w:val="0"/>
          <w:color w:val="000000"/>
          <w:lang w:eastAsia="ko-KR"/>
        </w:rPr>
        <w:t xml:space="preserve"> S</w:t>
      </w:r>
      <w:r w:rsidRPr="00965547">
        <w:rPr>
          <w:rFonts w:asciiTheme="majorBidi" w:hAnsiTheme="majorBidi" w:cstheme="majorBidi"/>
          <w:b w:val="0"/>
          <w:bCs w:val="0"/>
          <w:vertAlign w:val="superscript"/>
        </w:rPr>
        <w:t>1*</w:t>
      </w:r>
      <w:r w:rsidRPr="00965547">
        <w:rPr>
          <w:rFonts w:asciiTheme="majorBidi" w:eastAsia="BatangChe" w:hAnsiTheme="majorBidi" w:cstheme="majorBidi"/>
          <w:bCs w:val="0"/>
          <w:color w:val="000000"/>
          <w:lang w:eastAsia="ko-KR"/>
        </w:rPr>
        <w:t xml:space="preserve">, </w:t>
      </w:r>
      <w:proofErr w:type="spellStart"/>
      <w:r w:rsidRPr="00965547">
        <w:rPr>
          <w:rFonts w:asciiTheme="majorBidi" w:eastAsia="BatangChe" w:hAnsiTheme="majorBidi" w:cstheme="majorBidi"/>
          <w:bCs w:val="0"/>
          <w:color w:val="000000"/>
          <w:lang w:eastAsia="ko-KR"/>
        </w:rPr>
        <w:t>Hardyansyah</w:t>
      </w:r>
      <w:proofErr w:type="spellEnd"/>
      <w:r w:rsidRPr="00965547">
        <w:rPr>
          <w:rFonts w:asciiTheme="majorBidi" w:eastAsia="BatangChe" w:hAnsiTheme="majorBidi" w:cstheme="majorBidi"/>
          <w:bCs w:val="0"/>
          <w:color w:val="000000"/>
          <w:lang w:eastAsia="ko-KR"/>
        </w:rPr>
        <w:t xml:space="preserve"> Yusuf</w:t>
      </w:r>
      <w:r w:rsidRPr="00965547">
        <w:rPr>
          <w:rFonts w:asciiTheme="majorBidi" w:hAnsiTheme="majorBidi" w:cstheme="majorBidi"/>
          <w:b w:val="0"/>
          <w:bCs w:val="0"/>
          <w:vertAlign w:val="superscript"/>
        </w:rPr>
        <w:t>2</w:t>
      </w:r>
      <w:r w:rsidRPr="00965547">
        <w:rPr>
          <w:rFonts w:asciiTheme="majorBidi" w:eastAsia="BatangChe" w:hAnsiTheme="majorBidi" w:cstheme="majorBidi"/>
          <w:bCs w:val="0"/>
          <w:color w:val="000000"/>
          <w:lang w:eastAsia="ko-KR"/>
        </w:rPr>
        <w:t xml:space="preserve">, </w:t>
      </w:r>
      <w:r w:rsidR="00F00273" w:rsidRPr="00965547">
        <w:rPr>
          <w:rFonts w:asciiTheme="majorBidi" w:eastAsia="BatangChe" w:hAnsiTheme="majorBidi" w:cstheme="majorBidi"/>
          <w:bCs w:val="0"/>
          <w:color w:val="000000"/>
          <w:lang w:eastAsia="ko-KR"/>
        </w:rPr>
        <w:t>Damirah</w:t>
      </w:r>
      <w:r w:rsidR="00F00273" w:rsidRPr="00965547">
        <w:rPr>
          <w:rFonts w:asciiTheme="majorBidi" w:hAnsiTheme="majorBidi" w:cstheme="majorBidi"/>
          <w:b w:val="0"/>
          <w:bCs w:val="0"/>
          <w:vertAlign w:val="superscript"/>
        </w:rPr>
        <w:t>3</w:t>
      </w:r>
      <w:r w:rsidR="00F00273">
        <w:rPr>
          <w:rFonts w:asciiTheme="majorBidi" w:eastAsia="BatangChe" w:hAnsiTheme="majorBidi" w:cstheme="majorBidi"/>
          <w:bCs w:val="0"/>
          <w:color w:val="000000"/>
          <w:lang w:eastAsia="ko-KR"/>
        </w:rPr>
        <w:t xml:space="preserve">, </w:t>
      </w:r>
      <w:proofErr w:type="spellStart"/>
      <w:r w:rsidR="00F00273">
        <w:rPr>
          <w:rFonts w:asciiTheme="majorBidi" w:eastAsia="BatangChe" w:hAnsiTheme="majorBidi" w:cstheme="majorBidi"/>
          <w:bCs w:val="0"/>
          <w:color w:val="000000"/>
          <w:lang w:eastAsia="ko-KR"/>
        </w:rPr>
        <w:t>Khairuddin</w:t>
      </w:r>
      <w:proofErr w:type="spellEnd"/>
      <w:r w:rsidR="00F00273">
        <w:rPr>
          <w:rFonts w:asciiTheme="majorBidi" w:eastAsia="BatangChe" w:hAnsiTheme="majorBidi" w:cstheme="majorBidi"/>
          <w:bCs w:val="0"/>
          <w:color w:val="000000"/>
          <w:lang w:eastAsia="ko-KR"/>
        </w:rPr>
        <w:t xml:space="preserve"> Yusup</w:t>
      </w:r>
      <w:r w:rsidR="00F00273">
        <w:rPr>
          <w:rFonts w:asciiTheme="majorBidi" w:eastAsia="BatangChe" w:hAnsiTheme="majorBidi" w:cstheme="majorBidi"/>
          <w:bCs w:val="0"/>
          <w:color w:val="000000"/>
          <w:sz w:val="22"/>
          <w:szCs w:val="22"/>
          <w:vertAlign w:val="superscript"/>
          <w:lang w:eastAsia="ko-KR"/>
        </w:rPr>
        <w:t>4</w:t>
      </w:r>
    </w:p>
    <w:p w:rsidR="00231CAF" w:rsidRDefault="00231CAF" w:rsidP="00965547">
      <w:pPr>
        <w:pStyle w:val="Title"/>
        <w:spacing w:line="276" w:lineRule="auto"/>
        <w:rPr>
          <w:rFonts w:asciiTheme="majorBidi" w:eastAsia="BatangChe" w:hAnsiTheme="majorBidi" w:cstheme="majorBidi"/>
          <w:b w:val="0"/>
          <w:iCs/>
          <w:color w:val="000000"/>
          <w:lang w:eastAsia="ko-KR"/>
        </w:rPr>
      </w:pPr>
      <w:r w:rsidRPr="00965547">
        <w:rPr>
          <w:rFonts w:asciiTheme="majorBidi" w:hAnsiTheme="majorBidi" w:cstheme="majorBidi"/>
          <w:b w:val="0"/>
          <w:bCs w:val="0"/>
          <w:sz w:val="22"/>
          <w:szCs w:val="22"/>
          <w:vertAlign w:val="superscript"/>
        </w:rPr>
        <w:t>1</w:t>
      </w:r>
      <w:proofErr w:type="gramStart"/>
      <w:r w:rsidRPr="00965547">
        <w:rPr>
          <w:rFonts w:asciiTheme="majorBidi" w:hAnsiTheme="majorBidi" w:cstheme="majorBidi"/>
          <w:b w:val="0"/>
          <w:bCs w:val="0"/>
          <w:sz w:val="22"/>
          <w:szCs w:val="22"/>
          <w:vertAlign w:val="superscript"/>
        </w:rPr>
        <w:t>,2,3</w:t>
      </w:r>
      <w:proofErr w:type="gramEnd"/>
      <w:r w:rsidRPr="00965547">
        <w:rPr>
          <w:rFonts w:asciiTheme="majorBidi" w:hAnsiTheme="majorBidi" w:cstheme="majorBidi"/>
          <w:b w:val="0"/>
          <w:bCs w:val="0"/>
          <w:sz w:val="22"/>
          <w:szCs w:val="22"/>
        </w:rPr>
        <w:t xml:space="preserve"> </w:t>
      </w:r>
      <w:proofErr w:type="spellStart"/>
      <w:r w:rsidRPr="00965547">
        <w:rPr>
          <w:rFonts w:asciiTheme="majorBidi" w:eastAsia="BatangChe" w:hAnsiTheme="majorBidi" w:cstheme="majorBidi"/>
          <w:b w:val="0"/>
          <w:i/>
          <w:color w:val="000000"/>
          <w:lang w:eastAsia="ko-KR"/>
        </w:rPr>
        <w:t>Institut</w:t>
      </w:r>
      <w:proofErr w:type="spellEnd"/>
      <w:r w:rsidRPr="00965547">
        <w:rPr>
          <w:rFonts w:asciiTheme="majorBidi" w:eastAsia="BatangChe" w:hAnsiTheme="majorBidi" w:cstheme="majorBidi"/>
          <w:b w:val="0"/>
          <w:i/>
          <w:color w:val="000000"/>
          <w:lang w:eastAsia="ko-KR"/>
        </w:rPr>
        <w:t xml:space="preserve"> Agama Islam </w:t>
      </w:r>
      <w:proofErr w:type="spellStart"/>
      <w:r w:rsidRPr="00965547">
        <w:rPr>
          <w:rFonts w:asciiTheme="majorBidi" w:eastAsia="BatangChe" w:hAnsiTheme="majorBidi" w:cstheme="majorBidi"/>
          <w:b w:val="0"/>
          <w:i/>
          <w:color w:val="000000"/>
          <w:lang w:eastAsia="ko-KR"/>
        </w:rPr>
        <w:t>Negeri</w:t>
      </w:r>
      <w:proofErr w:type="spellEnd"/>
      <w:r w:rsidRPr="00965547">
        <w:rPr>
          <w:rFonts w:asciiTheme="majorBidi" w:eastAsia="BatangChe" w:hAnsiTheme="majorBidi" w:cstheme="majorBidi"/>
          <w:b w:val="0"/>
          <w:i/>
          <w:color w:val="000000"/>
          <w:lang w:eastAsia="ko-KR"/>
        </w:rPr>
        <w:t xml:space="preserve"> </w:t>
      </w:r>
      <w:proofErr w:type="spellStart"/>
      <w:r w:rsidRPr="00965547">
        <w:rPr>
          <w:rFonts w:asciiTheme="majorBidi" w:eastAsia="BatangChe" w:hAnsiTheme="majorBidi" w:cstheme="majorBidi"/>
          <w:b w:val="0"/>
          <w:i/>
          <w:color w:val="000000"/>
          <w:lang w:eastAsia="ko-KR"/>
        </w:rPr>
        <w:t>Parepare</w:t>
      </w:r>
      <w:proofErr w:type="spellEnd"/>
      <w:r w:rsidRPr="00965547">
        <w:rPr>
          <w:rFonts w:asciiTheme="majorBidi" w:eastAsia="BatangChe" w:hAnsiTheme="majorBidi" w:cstheme="majorBidi"/>
          <w:b w:val="0"/>
          <w:i/>
          <w:color w:val="000000"/>
          <w:lang w:eastAsia="ko-KR"/>
        </w:rPr>
        <w:t>,</w:t>
      </w:r>
      <w:r w:rsidR="00F00273">
        <w:rPr>
          <w:rFonts w:asciiTheme="majorBidi" w:eastAsia="BatangChe" w:hAnsiTheme="majorBidi" w:cstheme="majorBidi"/>
          <w:b w:val="0"/>
          <w:i/>
          <w:color w:val="000000"/>
          <w:lang w:eastAsia="ko-KR"/>
        </w:rPr>
        <w:t xml:space="preserve"> Sulawesi Selatan</w:t>
      </w:r>
      <w:bookmarkStart w:id="2" w:name="_GoBack"/>
      <w:bookmarkEnd w:id="2"/>
      <w:r w:rsidRPr="00965547">
        <w:rPr>
          <w:rFonts w:asciiTheme="majorBidi" w:eastAsia="BatangChe" w:hAnsiTheme="majorBidi" w:cstheme="majorBidi"/>
          <w:b w:val="0"/>
          <w:i/>
          <w:color w:val="000000"/>
          <w:lang w:eastAsia="ko-KR"/>
        </w:rPr>
        <w:t xml:space="preserve"> Indonesia</w:t>
      </w:r>
    </w:p>
    <w:p w:rsidR="00F00273" w:rsidRPr="00F00273" w:rsidRDefault="00F00273" w:rsidP="00965547">
      <w:pPr>
        <w:pStyle w:val="Title"/>
        <w:spacing w:line="276" w:lineRule="auto"/>
        <w:rPr>
          <w:rFonts w:asciiTheme="majorBidi" w:hAnsiTheme="majorBidi" w:cstheme="majorBidi"/>
          <w:b w:val="0"/>
          <w:bCs w:val="0"/>
          <w:iCs/>
          <w:sz w:val="22"/>
          <w:szCs w:val="22"/>
        </w:rPr>
      </w:pPr>
      <w:r>
        <w:rPr>
          <w:rFonts w:asciiTheme="majorBidi" w:eastAsia="BatangChe" w:hAnsiTheme="majorBidi" w:cstheme="majorBidi"/>
          <w:b w:val="0"/>
          <w:iCs/>
          <w:color w:val="000000"/>
          <w:vertAlign w:val="superscript"/>
          <w:lang w:eastAsia="ko-KR"/>
        </w:rPr>
        <w:t xml:space="preserve">4 </w:t>
      </w:r>
      <w:r w:rsidRPr="00F00273">
        <w:rPr>
          <w:rFonts w:asciiTheme="majorBidi" w:eastAsia="BatangChe" w:hAnsiTheme="majorBidi" w:cstheme="majorBidi"/>
          <w:b w:val="0"/>
          <w:i/>
          <w:color w:val="000000"/>
          <w:lang w:eastAsia="ko-KR"/>
        </w:rPr>
        <w:t xml:space="preserve">UIN </w:t>
      </w:r>
      <w:proofErr w:type="spellStart"/>
      <w:r w:rsidRPr="00F00273">
        <w:rPr>
          <w:rFonts w:asciiTheme="majorBidi" w:eastAsia="BatangChe" w:hAnsiTheme="majorBidi" w:cstheme="majorBidi"/>
          <w:b w:val="0"/>
          <w:i/>
          <w:color w:val="000000"/>
          <w:lang w:eastAsia="ko-KR"/>
        </w:rPr>
        <w:t>Datokarama</w:t>
      </w:r>
      <w:proofErr w:type="spellEnd"/>
      <w:r w:rsidRPr="00F00273">
        <w:rPr>
          <w:rFonts w:asciiTheme="majorBidi" w:eastAsia="BatangChe" w:hAnsiTheme="majorBidi" w:cstheme="majorBidi"/>
          <w:b w:val="0"/>
          <w:i/>
          <w:color w:val="000000"/>
          <w:lang w:eastAsia="ko-KR"/>
        </w:rPr>
        <w:t xml:space="preserve"> </w:t>
      </w:r>
      <w:proofErr w:type="spellStart"/>
      <w:r w:rsidRPr="00F00273">
        <w:rPr>
          <w:rFonts w:asciiTheme="majorBidi" w:eastAsia="BatangChe" w:hAnsiTheme="majorBidi" w:cstheme="majorBidi"/>
          <w:b w:val="0"/>
          <w:i/>
          <w:color w:val="000000"/>
          <w:lang w:eastAsia="ko-KR"/>
        </w:rPr>
        <w:t>Palu</w:t>
      </w:r>
      <w:proofErr w:type="spellEnd"/>
      <w:r w:rsidRPr="00F00273">
        <w:rPr>
          <w:rFonts w:asciiTheme="majorBidi" w:eastAsia="BatangChe" w:hAnsiTheme="majorBidi" w:cstheme="majorBidi"/>
          <w:b w:val="0"/>
          <w:i/>
          <w:color w:val="000000"/>
          <w:lang w:eastAsia="ko-KR"/>
        </w:rPr>
        <w:t>, Sulawesi Tengah, Indonesia</w:t>
      </w:r>
    </w:p>
    <w:p w:rsidR="00231CAF" w:rsidRDefault="00231CAF" w:rsidP="00965547">
      <w:pPr>
        <w:pStyle w:val="Title"/>
        <w:rPr>
          <w:rFonts w:ascii="Garamond" w:hAnsi="Garamond"/>
          <w:color w:val="000000"/>
        </w:rPr>
      </w:pPr>
      <w:r w:rsidRPr="00965547">
        <w:rPr>
          <w:rFonts w:asciiTheme="majorBidi" w:hAnsiTheme="majorBidi" w:cstheme="majorBidi"/>
          <w:b w:val="0"/>
          <w:bCs w:val="0"/>
          <w:sz w:val="22"/>
          <w:szCs w:val="22"/>
        </w:rPr>
        <w:t xml:space="preserve">*Corresponding Author </w:t>
      </w:r>
      <w:r w:rsidRPr="00965547">
        <w:rPr>
          <w:rFonts w:asciiTheme="majorBidi" w:hAnsiTheme="majorBidi" w:cstheme="majorBidi"/>
          <w:b w:val="0"/>
          <w:bCs w:val="0"/>
          <w:i/>
          <w:iCs/>
          <w:sz w:val="22"/>
          <w:szCs w:val="22"/>
        </w:rPr>
        <w:t>E-mail</w:t>
      </w:r>
      <w:r w:rsidRPr="00965547">
        <w:rPr>
          <w:rFonts w:asciiTheme="majorBidi" w:hAnsiTheme="majorBidi" w:cstheme="majorBidi"/>
          <w:b w:val="0"/>
          <w:bCs w:val="0"/>
          <w:sz w:val="22"/>
          <w:szCs w:val="22"/>
        </w:rPr>
        <w:t xml:space="preserve">: </w:t>
      </w:r>
      <w:hyperlink r:id="rId9" w:history="1">
        <w:r w:rsidRPr="00965547">
          <w:rPr>
            <w:rStyle w:val="Hyperlink"/>
            <w:rFonts w:asciiTheme="majorBidi" w:hAnsiTheme="majorBidi" w:cstheme="majorBidi"/>
            <w:b w:val="0"/>
            <w:bCs w:val="0"/>
            <w:sz w:val="22"/>
            <w:szCs w:val="22"/>
          </w:rPr>
          <w:t>andibahris@iainpare.ac.id</w:t>
        </w:r>
      </w:hyperlink>
    </w:p>
    <w:p w:rsidR="00231CAF" w:rsidRDefault="00231CAF" w:rsidP="00551B67">
      <w:pPr>
        <w:pStyle w:val="Title"/>
        <w:rPr>
          <w:rFonts w:ascii="Garamond" w:hAnsi="Garamond"/>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263"/>
        <w:gridCol w:w="5103"/>
      </w:tblGrid>
      <w:tr w:rsidR="00A5080C" w:rsidRPr="00694646" w:rsidTr="004252DE">
        <w:trPr>
          <w:jc w:val="center"/>
        </w:trPr>
        <w:tc>
          <w:tcPr>
            <w:tcW w:w="2005" w:type="dxa"/>
            <w:tcBorders>
              <w:left w:val="nil"/>
              <w:right w:val="nil"/>
            </w:tcBorders>
          </w:tcPr>
          <w:p w:rsidR="00A5080C" w:rsidRPr="00694646" w:rsidRDefault="00A5080C" w:rsidP="004252DE">
            <w:pPr>
              <w:rPr>
                <w:rFonts w:ascii="Garamond" w:hAnsi="Garamond"/>
                <w:b/>
                <w:bCs/>
                <w:sz w:val="18"/>
                <w:szCs w:val="18"/>
              </w:rPr>
            </w:pPr>
            <w:r w:rsidRPr="00694646">
              <w:rPr>
                <w:rFonts w:ascii="Garamond" w:hAnsi="Garamond"/>
                <w:b/>
                <w:bCs/>
                <w:sz w:val="18"/>
                <w:szCs w:val="18"/>
              </w:rPr>
              <w:t>ARTICLE INFO</w:t>
            </w:r>
          </w:p>
        </w:tc>
        <w:tc>
          <w:tcPr>
            <w:tcW w:w="263" w:type="dxa"/>
            <w:vMerge w:val="restart"/>
            <w:tcBorders>
              <w:left w:val="nil"/>
              <w:right w:val="nil"/>
            </w:tcBorders>
          </w:tcPr>
          <w:p w:rsidR="00A5080C" w:rsidRPr="00694646" w:rsidRDefault="00A5080C" w:rsidP="004252DE">
            <w:pPr>
              <w:pStyle w:val="Heading1"/>
              <w:rPr>
                <w:rFonts w:ascii="Garamond" w:hAnsi="Garamond"/>
                <w:sz w:val="18"/>
                <w:szCs w:val="18"/>
              </w:rPr>
            </w:pPr>
          </w:p>
        </w:tc>
        <w:tc>
          <w:tcPr>
            <w:tcW w:w="5103" w:type="dxa"/>
            <w:vMerge w:val="restart"/>
            <w:tcBorders>
              <w:left w:val="nil"/>
              <w:right w:val="nil"/>
            </w:tcBorders>
          </w:tcPr>
          <w:p w:rsidR="00A5080C" w:rsidRPr="00965547" w:rsidRDefault="00A5080C" w:rsidP="00965547">
            <w:pPr>
              <w:pStyle w:val="Heading1"/>
              <w:spacing w:before="120" w:after="120" w:line="240" w:lineRule="auto"/>
              <w:jc w:val="center"/>
              <w:rPr>
                <w:rFonts w:asciiTheme="majorBidi" w:hAnsiTheme="majorBidi" w:cstheme="majorBidi"/>
                <w:sz w:val="18"/>
                <w:szCs w:val="18"/>
              </w:rPr>
            </w:pPr>
            <w:r w:rsidRPr="00965547">
              <w:rPr>
                <w:rFonts w:asciiTheme="majorBidi" w:hAnsiTheme="majorBidi" w:cstheme="majorBidi"/>
                <w:sz w:val="18"/>
                <w:szCs w:val="18"/>
              </w:rPr>
              <w:t>ABSTRACT</w:t>
            </w:r>
          </w:p>
          <w:p w:rsidR="00BE7514" w:rsidRPr="00965547" w:rsidRDefault="00BE7514" w:rsidP="00965547">
            <w:pPr>
              <w:spacing w:before="120" w:after="120"/>
              <w:jc w:val="both"/>
              <w:rPr>
                <w:rFonts w:asciiTheme="majorBidi" w:hAnsiTheme="majorBidi" w:cstheme="majorBidi"/>
                <w:sz w:val="18"/>
                <w:szCs w:val="18"/>
              </w:rPr>
            </w:pPr>
            <w:r w:rsidRPr="00965547">
              <w:rPr>
                <w:rFonts w:asciiTheme="majorBidi" w:hAnsiTheme="majorBidi" w:cstheme="majorBidi"/>
                <w:b/>
                <w:bCs/>
                <w:sz w:val="18"/>
                <w:szCs w:val="18"/>
              </w:rPr>
              <w:t>Purpose</w:t>
            </w:r>
            <w:r w:rsidRPr="00965547">
              <w:rPr>
                <w:rFonts w:asciiTheme="majorBidi" w:hAnsiTheme="majorBidi" w:cstheme="majorBidi"/>
                <w:sz w:val="18"/>
                <w:szCs w:val="18"/>
              </w:rPr>
              <w:t>:</w:t>
            </w:r>
            <w:r w:rsidRPr="00965547">
              <w:rPr>
                <w:rFonts w:asciiTheme="majorBidi" w:hAnsiTheme="majorBidi" w:cstheme="majorBidi"/>
                <w:b/>
                <w:bCs/>
                <w:sz w:val="18"/>
                <w:szCs w:val="18"/>
              </w:rPr>
              <w:t xml:space="preserve"> </w:t>
            </w:r>
            <w:r w:rsidRPr="00965547">
              <w:rPr>
                <w:rFonts w:asciiTheme="majorBidi" w:hAnsiTheme="majorBidi" w:cstheme="majorBidi"/>
                <w:sz w:val="18"/>
                <w:szCs w:val="18"/>
              </w:rPr>
              <w:t>This study aims to analyze the urgency of gold (e-gold or digital gold) invest</w:t>
            </w:r>
            <w:r w:rsidR="00965547">
              <w:rPr>
                <w:rFonts w:asciiTheme="majorBidi" w:hAnsiTheme="majorBidi" w:cstheme="majorBidi"/>
                <w:sz w:val="18"/>
                <w:szCs w:val="18"/>
              </w:rPr>
              <w:t>ed</w:t>
            </w:r>
            <w:r w:rsidRPr="00965547">
              <w:rPr>
                <w:rFonts w:asciiTheme="majorBidi" w:hAnsiTheme="majorBidi" w:cstheme="majorBidi"/>
                <w:sz w:val="18"/>
                <w:szCs w:val="18"/>
              </w:rPr>
              <w:t xml:space="preserve"> for economic </w:t>
            </w:r>
            <w:r w:rsidR="00965547">
              <w:rPr>
                <w:rFonts w:asciiTheme="majorBidi" w:hAnsiTheme="majorBidi" w:cstheme="majorBidi"/>
                <w:sz w:val="18"/>
                <w:szCs w:val="18"/>
              </w:rPr>
              <w:t>recovery</w:t>
            </w:r>
            <w:r w:rsidRPr="00965547">
              <w:rPr>
                <w:rFonts w:asciiTheme="majorBidi" w:hAnsiTheme="majorBidi" w:cstheme="majorBidi"/>
                <w:sz w:val="18"/>
                <w:szCs w:val="18"/>
              </w:rPr>
              <w:t xml:space="preserve"> </w:t>
            </w:r>
            <w:r w:rsidR="00965547">
              <w:rPr>
                <w:rFonts w:asciiTheme="majorBidi" w:hAnsiTheme="majorBidi" w:cstheme="majorBidi"/>
                <w:sz w:val="18"/>
                <w:szCs w:val="18"/>
              </w:rPr>
              <w:t>after</w:t>
            </w:r>
            <w:r w:rsidRPr="00965547">
              <w:rPr>
                <w:rFonts w:asciiTheme="majorBidi" w:hAnsiTheme="majorBidi" w:cstheme="majorBidi"/>
                <w:sz w:val="18"/>
                <w:szCs w:val="18"/>
              </w:rPr>
              <w:t xml:space="preserve"> </w:t>
            </w:r>
            <w:r w:rsidR="00965547" w:rsidRPr="00965547">
              <w:rPr>
                <w:rFonts w:asciiTheme="majorBidi" w:hAnsiTheme="majorBidi" w:cstheme="majorBidi"/>
                <w:sz w:val="18"/>
                <w:szCs w:val="18"/>
              </w:rPr>
              <w:t>Covid</w:t>
            </w:r>
            <w:r w:rsidRPr="00965547">
              <w:rPr>
                <w:rFonts w:asciiTheme="majorBidi" w:hAnsiTheme="majorBidi" w:cstheme="majorBidi"/>
                <w:sz w:val="18"/>
                <w:szCs w:val="18"/>
              </w:rPr>
              <w:t>-19 pandemic.</w:t>
            </w:r>
          </w:p>
          <w:p w:rsidR="00BE7514" w:rsidRPr="004943A8" w:rsidRDefault="00BE7514" w:rsidP="00D32285">
            <w:pPr>
              <w:spacing w:before="120" w:after="120"/>
              <w:jc w:val="both"/>
              <w:rPr>
                <w:rFonts w:asciiTheme="majorBidi" w:hAnsiTheme="majorBidi" w:cstheme="majorBidi"/>
                <w:color w:val="222222"/>
                <w:sz w:val="18"/>
                <w:szCs w:val="18"/>
              </w:rPr>
            </w:pPr>
            <w:r w:rsidRPr="00965547">
              <w:rPr>
                <w:rFonts w:asciiTheme="majorBidi" w:hAnsiTheme="majorBidi" w:cstheme="majorBidi"/>
                <w:b/>
                <w:bCs/>
                <w:sz w:val="18"/>
                <w:szCs w:val="18"/>
              </w:rPr>
              <w:t>Design/Method/Approach</w:t>
            </w:r>
            <w:r w:rsidRPr="00965547">
              <w:rPr>
                <w:rFonts w:asciiTheme="majorBidi" w:hAnsiTheme="majorBidi" w:cstheme="majorBidi"/>
                <w:sz w:val="18"/>
                <w:szCs w:val="18"/>
              </w:rPr>
              <w:t xml:space="preserve">: </w:t>
            </w:r>
            <w:r w:rsidR="004943A8" w:rsidRPr="004943A8">
              <w:rPr>
                <w:rFonts w:asciiTheme="majorBidi" w:hAnsiTheme="majorBidi" w:cstheme="majorBidi"/>
                <w:color w:val="222222"/>
                <w:sz w:val="18"/>
                <w:szCs w:val="18"/>
              </w:rPr>
              <w:t xml:space="preserve">This study applied descriptive qualitative with a literature review approach. The data collected through documentation from authoritative agent on investment business and observation on economic </w:t>
            </w:r>
            <w:r w:rsidR="00D32285" w:rsidRPr="004943A8">
              <w:rPr>
                <w:rFonts w:asciiTheme="majorBidi" w:hAnsiTheme="majorBidi" w:cstheme="majorBidi"/>
                <w:color w:val="222222"/>
                <w:sz w:val="18"/>
                <w:szCs w:val="18"/>
              </w:rPr>
              <w:t>turbul</w:t>
            </w:r>
            <w:r w:rsidR="00D32285">
              <w:rPr>
                <w:rFonts w:asciiTheme="majorBidi" w:hAnsiTheme="majorBidi" w:cstheme="majorBidi"/>
                <w:color w:val="222222"/>
                <w:sz w:val="18"/>
                <w:szCs w:val="18"/>
              </w:rPr>
              <w:t>e</w:t>
            </w:r>
            <w:r w:rsidR="00D32285" w:rsidRPr="004943A8">
              <w:rPr>
                <w:rFonts w:asciiTheme="majorBidi" w:hAnsiTheme="majorBidi" w:cstheme="majorBidi"/>
                <w:color w:val="222222"/>
                <w:sz w:val="18"/>
                <w:szCs w:val="18"/>
              </w:rPr>
              <w:t>nce</w:t>
            </w:r>
            <w:r w:rsidR="004943A8" w:rsidRPr="004943A8">
              <w:rPr>
                <w:rFonts w:asciiTheme="majorBidi" w:hAnsiTheme="majorBidi" w:cstheme="majorBidi"/>
                <w:color w:val="222222"/>
                <w:sz w:val="18"/>
                <w:szCs w:val="18"/>
              </w:rPr>
              <w:t xml:space="preserve"> during the days of Covid-19 pandemic. The data obtained from market review reports, finance symposium summary, economic and business news, article journals, and some relevant books. While the data analysis technique developed base on conclusion drawing technique in order to fine out a systematical analysis as well as objective conclusion.</w:t>
            </w:r>
          </w:p>
          <w:p w:rsidR="00BE7514" w:rsidRPr="00965547" w:rsidRDefault="00BE7514" w:rsidP="00965547">
            <w:pPr>
              <w:spacing w:before="120" w:after="120"/>
              <w:jc w:val="both"/>
              <w:rPr>
                <w:rFonts w:asciiTheme="majorBidi" w:hAnsiTheme="majorBidi" w:cstheme="majorBidi"/>
                <w:color w:val="222222"/>
                <w:sz w:val="18"/>
                <w:szCs w:val="18"/>
              </w:rPr>
            </w:pPr>
            <w:r w:rsidRPr="00965547">
              <w:rPr>
                <w:rFonts w:asciiTheme="majorBidi" w:hAnsiTheme="majorBidi" w:cstheme="majorBidi"/>
                <w:b/>
                <w:bCs/>
                <w:sz w:val="18"/>
                <w:szCs w:val="18"/>
              </w:rPr>
              <w:t>Findings:</w:t>
            </w:r>
            <w:r w:rsidRPr="00965547">
              <w:rPr>
                <w:rFonts w:asciiTheme="majorBidi" w:hAnsiTheme="majorBidi" w:cstheme="majorBidi"/>
                <w:sz w:val="18"/>
                <w:szCs w:val="18"/>
              </w:rPr>
              <w:t xml:space="preserve"> </w:t>
            </w:r>
            <w:r w:rsidRPr="00965547">
              <w:rPr>
                <w:rFonts w:asciiTheme="majorBidi" w:hAnsiTheme="majorBidi" w:cstheme="majorBidi"/>
                <w:color w:val="222222"/>
                <w:sz w:val="18"/>
                <w:szCs w:val="18"/>
              </w:rPr>
              <w:t xml:space="preserve">The results show that gold investment is really recommended because more profitable and gold performed relatively better than many other assets in the early pandemic stages. Besides, the digital transaction was appointed in the Qur’an, Hadith and </w:t>
            </w:r>
            <w:r w:rsidRPr="00965547">
              <w:rPr>
                <w:rFonts w:asciiTheme="majorBidi" w:hAnsiTheme="majorBidi" w:cstheme="majorBidi"/>
                <w:i/>
                <w:iCs/>
                <w:color w:val="222222"/>
                <w:sz w:val="18"/>
                <w:szCs w:val="18"/>
              </w:rPr>
              <w:t>`</w:t>
            </w:r>
            <w:proofErr w:type="spellStart"/>
            <w:r w:rsidRPr="00965547">
              <w:rPr>
                <w:rFonts w:asciiTheme="majorBidi" w:hAnsiTheme="majorBidi" w:cstheme="majorBidi"/>
                <w:i/>
                <w:iCs/>
                <w:color w:val="222222"/>
                <w:sz w:val="18"/>
                <w:szCs w:val="18"/>
              </w:rPr>
              <w:t>Ijma</w:t>
            </w:r>
            <w:proofErr w:type="spellEnd"/>
            <w:r w:rsidRPr="00965547">
              <w:rPr>
                <w:rFonts w:asciiTheme="majorBidi" w:hAnsiTheme="majorBidi" w:cstheme="majorBidi"/>
                <w:i/>
                <w:iCs/>
                <w:color w:val="222222"/>
                <w:sz w:val="18"/>
                <w:szCs w:val="18"/>
              </w:rPr>
              <w:t>’</w:t>
            </w:r>
            <w:r w:rsidRPr="00965547">
              <w:rPr>
                <w:rFonts w:asciiTheme="majorBidi" w:hAnsiTheme="majorBidi" w:cstheme="majorBidi"/>
                <w:color w:val="222222"/>
                <w:sz w:val="18"/>
                <w:szCs w:val="18"/>
              </w:rPr>
              <w:t xml:space="preserve">. Meanwhile, there are two opinions regarding allowance and prohibition related to digital gold investment. First, it is forbidden due to the payment by credit not cash. In addition to the four </w:t>
            </w:r>
            <w:proofErr w:type="spellStart"/>
            <w:r w:rsidRPr="00965547">
              <w:rPr>
                <w:rFonts w:asciiTheme="majorBidi" w:hAnsiTheme="majorBidi" w:cstheme="majorBidi"/>
                <w:i/>
                <w:iCs/>
                <w:color w:val="222222"/>
                <w:sz w:val="18"/>
                <w:szCs w:val="18"/>
              </w:rPr>
              <w:t>madzhabs</w:t>
            </w:r>
            <w:proofErr w:type="spellEnd"/>
            <w:r w:rsidRPr="00965547">
              <w:rPr>
                <w:rFonts w:asciiTheme="majorBidi" w:hAnsiTheme="majorBidi" w:cstheme="majorBidi"/>
                <w:i/>
                <w:iCs/>
                <w:color w:val="222222"/>
                <w:sz w:val="18"/>
                <w:szCs w:val="18"/>
              </w:rPr>
              <w:t>'</w:t>
            </w:r>
            <w:r w:rsidRPr="00965547">
              <w:rPr>
                <w:rFonts w:asciiTheme="majorBidi" w:hAnsiTheme="majorBidi" w:cstheme="majorBidi"/>
                <w:color w:val="222222"/>
                <w:sz w:val="18"/>
                <w:szCs w:val="18"/>
              </w:rPr>
              <w:t xml:space="preserve"> opinion, this transaction must be complied the cash transaction requirements in order to prevent the usury. The second is </w:t>
            </w:r>
            <w:proofErr w:type="spellStart"/>
            <w:r w:rsidRPr="00965547">
              <w:rPr>
                <w:rFonts w:asciiTheme="majorBidi" w:hAnsiTheme="majorBidi" w:cstheme="majorBidi"/>
                <w:color w:val="222222"/>
                <w:sz w:val="18"/>
                <w:szCs w:val="18"/>
              </w:rPr>
              <w:t>Ibn</w:t>
            </w:r>
            <w:proofErr w:type="spellEnd"/>
            <w:r w:rsidRPr="00965547">
              <w:rPr>
                <w:rFonts w:asciiTheme="majorBidi" w:hAnsiTheme="majorBidi" w:cstheme="majorBidi"/>
                <w:color w:val="222222"/>
                <w:sz w:val="18"/>
                <w:szCs w:val="18"/>
              </w:rPr>
              <w:t xml:space="preserve"> </w:t>
            </w:r>
            <w:proofErr w:type="spellStart"/>
            <w:r w:rsidRPr="00965547">
              <w:rPr>
                <w:rFonts w:asciiTheme="majorBidi" w:hAnsiTheme="majorBidi" w:cstheme="majorBidi"/>
                <w:color w:val="222222"/>
                <w:sz w:val="18"/>
                <w:szCs w:val="18"/>
              </w:rPr>
              <w:t>Taimiyah's</w:t>
            </w:r>
            <w:proofErr w:type="spellEnd"/>
            <w:r w:rsidRPr="00965547">
              <w:rPr>
                <w:rFonts w:asciiTheme="majorBidi" w:hAnsiTheme="majorBidi" w:cstheme="majorBidi"/>
                <w:color w:val="222222"/>
                <w:sz w:val="18"/>
                <w:szCs w:val="18"/>
              </w:rPr>
              <w:t xml:space="preserve"> opinion and DSN-MUI regulation shown that as long as the transaction fulfills the requirement, it is allowed.</w:t>
            </w:r>
          </w:p>
          <w:p w:rsidR="00A5080C" w:rsidRPr="00477254" w:rsidRDefault="00BE7514" w:rsidP="00D32285">
            <w:pPr>
              <w:spacing w:before="120" w:after="120"/>
              <w:jc w:val="both"/>
              <w:rPr>
                <w:rFonts w:ascii="Garamond" w:hAnsi="Garamond" w:cs="AdvOT4ac4c61e+20"/>
                <w:i/>
                <w:iCs/>
                <w:sz w:val="18"/>
                <w:szCs w:val="18"/>
              </w:rPr>
            </w:pPr>
            <w:r w:rsidRPr="00965547">
              <w:rPr>
                <w:rFonts w:asciiTheme="majorBidi" w:hAnsiTheme="majorBidi" w:cstheme="majorBidi"/>
                <w:b/>
                <w:bCs/>
                <w:sz w:val="18"/>
                <w:szCs w:val="18"/>
              </w:rPr>
              <w:t>Originality/Values</w:t>
            </w:r>
            <w:r w:rsidRPr="00965547">
              <w:rPr>
                <w:rFonts w:asciiTheme="majorBidi" w:hAnsiTheme="majorBidi" w:cstheme="majorBidi"/>
                <w:sz w:val="18"/>
                <w:szCs w:val="18"/>
              </w:rPr>
              <w:t xml:space="preserve">: The main contribution of this study concern on filling the gap of how urgency the e-gold investment for </w:t>
            </w:r>
            <w:r w:rsidR="00D32285">
              <w:rPr>
                <w:rFonts w:asciiTheme="majorBidi" w:hAnsiTheme="majorBidi" w:cstheme="majorBidi"/>
                <w:sz w:val="18"/>
                <w:szCs w:val="18"/>
              </w:rPr>
              <w:t xml:space="preserve">recovering the </w:t>
            </w:r>
            <w:r w:rsidRPr="00965547">
              <w:rPr>
                <w:rFonts w:asciiTheme="majorBidi" w:hAnsiTheme="majorBidi" w:cstheme="majorBidi"/>
                <w:sz w:val="18"/>
                <w:szCs w:val="18"/>
              </w:rPr>
              <w:t xml:space="preserve">economic </w:t>
            </w:r>
            <w:r w:rsidR="00D32285">
              <w:rPr>
                <w:rFonts w:asciiTheme="majorBidi" w:hAnsiTheme="majorBidi" w:cstheme="majorBidi"/>
                <w:sz w:val="18"/>
                <w:szCs w:val="18"/>
              </w:rPr>
              <w:t>impact of pandemic</w:t>
            </w:r>
            <w:r w:rsidRPr="00965547">
              <w:rPr>
                <w:rFonts w:asciiTheme="majorBidi" w:hAnsiTheme="majorBidi" w:cstheme="majorBidi"/>
                <w:sz w:val="18"/>
                <w:szCs w:val="18"/>
              </w:rPr>
              <w:t xml:space="preserve"> and how e-gold investment according to </w:t>
            </w:r>
            <w:r w:rsidR="002C45E7">
              <w:rPr>
                <w:rFonts w:asciiTheme="majorBidi" w:hAnsiTheme="majorBidi" w:cstheme="majorBidi"/>
                <w:sz w:val="18"/>
                <w:szCs w:val="18"/>
              </w:rPr>
              <w:t xml:space="preserve">the </w:t>
            </w:r>
            <w:r w:rsidRPr="00965547">
              <w:rPr>
                <w:rFonts w:asciiTheme="majorBidi" w:hAnsiTheme="majorBidi" w:cstheme="majorBidi"/>
                <w:sz w:val="18"/>
                <w:szCs w:val="18"/>
              </w:rPr>
              <w:t>Islamic economic perspective.</w:t>
            </w:r>
            <w:r w:rsidR="00A5080C" w:rsidRPr="00694646">
              <w:rPr>
                <w:rFonts w:ascii="Garamond" w:hAnsi="Garamond" w:cs="AdvOT4ac4c61e+20"/>
                <w:i/>
                <w:iCs/>
                <w:sz w:val="18"/>
                <w:szCs w:val="18"/>
              </w:rPr>
              <w:t xml:space="preserve">  </w:t>
            </w:r>
          </w:p>
        </w:tc>
      </w:tr>
      <w:tr w:rsidR="00A5080C" w:rsidRPr="00694646" w:rsidTr="004252DE">
        <w:trPr>
          <w:jc w:val="center"/>
        </w:trPr>
        <w:tc>
          <w:tcPr>
            <w:tcW w:w="2005" w:type="dxa"/>
            <w:tcBorders>
              <w:left w:val="nil"/>
              <w:right w:val="nil"/>
            </w:tcBorders>
          </w:tcPr>
          <w:p w:rsidR="00A5080C" w:rsidRPr="00DB7F5B" w:rsidRDefault="00A5080C" w:rsidP="004252DE">
            <w:pPr>
              <w:rPr>
                <w:rFonts w:ascii="Garamond" w:hAnsi="Garamond"/>
                <w:sz w:val="18"/>
                <w:szCs w:val="18"/>
              </w:rPr>
            </w:pPr>
            <w:r w:rsidRPr="00DB7F5B">
              <w:rPr>
                <w:rFonts w:ascii="Garamond" w:hAnsi="Garamond"/>
                <w:sz w:val="18"/>
                <w:szCs w:val="18"/>
              </w:rPr>
              <w:t>Article History:</w:t>
            </w:r>
          </w:p>
          <w:p w:rsidR="00A5080C" w:rsidRPr="00694646" w:rsidRDefault="00A5080C" w:rsidP="004252DE">
            <w:pPr>
              <w:rPr>
                <w:rFonts w:ascii="Garamond" w:hAnsi="Garamond"/>
                <w:sz w:val="18"/>
                <w:szCs w:val="18"/>
              </w:rPr>
            </w:pPr>
            <w:r w:rsidRPr="00694646">
              <w:rPr>
                <w:rFonts w:ascii="Garamond" w:hAnsi="Garamond"/>
                <w:sz w:val="18"/>
                <w:szCs w:val="18"/>
              </w:rPr>
              <w:t>Received</w:t>
            </w:r>
            <w:r w:rsidR="00DB7F5B">
              <w:rPr>
                <w:rFonts w:ascii="Garamond" w:hAnsi="Garamond"/>
                <w:sz w:val="18"/>
                <w:szCs w:val="18"/>
              </w:rPr>
              <w:t>:</w:t>
            </w:r>
            <w:r w:rsidRPr="00694646">
              <w:rPr>
                <w:rFonts w:ascii="Garamond" w:hAnsi="Garamond"/>
                <w:sz w:val="18"/>
                <w:szCs w:val="18"/>
              </w:rPr>
              <w:t xml:space="preserve"> </w:t>
            </w:r>
          </w:p>
          <w:p w:rsidR="00A5080C" w:rsidRPr="00694646" w:rsidRDefault="00A5080C" w:rsidP="004252DE">
            <w:pPr>
              <w:rPr>
                <w:rFonts w:ascii="Garamond" w:hAnsi="Garamond"/>
                <w:sz w:val="18"/>
                <w:szCs w:val="18"/>
              </w:rPr>
            </w:pPr>
            <w:r w:rsidRPr="00694646">
              <w:rPr>
                <w:rFonts w:ascii="Garamond" w:hAnsi="Garamond"/>
                <w:sz w:val="18"/>
                <w:szCs w:val="18"/>
              </w:rPr>
              <w:t>Revised</w:t>
            </w:r>
            <w:r w:rsidR="00DB7F5B">
              <w:rPr>
                <w:rFonts w:ascii="Garamond" w:hAnsi="Garamond"/>
                <w:sz w:val="18"/>
                <w:szCs w:val="18"/>
              </w:rPr>
              <w:t>:</w:t>
            </w:r>
            <w:r w:rsidRPr="00694646">
              <w:rPr>
                <w:rFonts w:ascii="Garamond" w:hAnsi="Garamond"/>
                <w:sz w:val="18"/>
                <w:szCs w:val="18"/>
              </w:rPr>
              <w:t xml:space="preserve"> </w:t>
            </w:r>
          </w:p>
          <w:p w:rsidR="00A5080C" w:rsidRPr="00694646" w:rsidRDefault="00A5080C" w:rsidP="00A5080C">
            <w:pPr>
              <w:rPr>
                <w:rFonts w:ascii="Garamond" w:hAnsi="Garamond"/>
                <w:sz w:val="18"/>
                <w:szCs w:val="18"/>
              </w:rPr>
            </w:pPr>
            <w:r w:rsidRPr="00694646">
              <w:rPr>
                <w:rFonts w:ascii="Garamond" w:hAnsi="Garamond"/>
                <w:sz w:val="18"/>
                <w:szCs w:val="18"/>
              </w:rPr>
              <w:t>Accepted</w:t>
            </w:r>
            <w:r w:rsidR="00DB7F5B">
              <w:rPr>
                <w:rFonts w:ascii="Garamond" w:hAnsi="Garamond"/>
                <w:sz w:val="18"/>
                <w:szCs w:val="18"/>
              </w:rPr>
              <w:t>:</w:t>
            </w:r>
            <w:r w:rsidRPr="00694646">
              <w:rPr>
                <w:rFonts w:ascii="Garamond" w:hAnsi="Garamond"/>
                <w:sz w:val="18"/>
                <w:szCs w:val="18"/>
              </w:rPr>
              <w:t xml:space="preserve"> </w:t>
            </w:r>
          </w:p>
        </w:tc>
        <w:tc>
          <w:tcPr>
            <w:tcW w:w="263" w:type="dxa"/>
            <w:vMerge/>
            <w:tcBorders>
              <w:left w:val="nil"/>
              <w:right w:val="nil"/>
            </w:tcBorders>
          </w:tcPr>
          <w:p w:rsidR="00A5080C" w:rsidRPr="00694646" w:rsidRDefault="00A5080C" w:rsidP="004252DE">
            <w:pPr>
              <w:rPr>
                <w:rFonts w:ascii="Garamond" w:hAnsi="Garamond"/>
                <w:sz w:val="18"/>
                <w:szCs w:val="18"/>
              </w:rPr>
            </w:pPr>
          </w:p>
        </w:tc>
        <w:tc>
          <w:tcPr>
            <w:tcW w:w="5103" w:type="dxa"/>
            <w:vMerge/>
            <w:tcBorders>
              <w:left w:val="nil"/>
              <w:right w:val="nil"/>
            </w:tcBorders>
          </w:tcPr>
          <w:p w:rsidR="00A5080C" w:rsidRPr="00694646" w:rsidRDefault="00A5080C" w:rsidP="004252DE">
            <w:pPr>
              <w:rPr>
                <w:rFonts w:ascii="Garamond" w:hAnsi="Garamond"/>
                <w:sz w:val="18"/>
                <w:szCs w:val="18"/>
              </w:rPr>
            </w:pPr>
          </w:p>
        </w:tc>
      </w:tr>
      <w:tr w:rsidR="00A5080C" w:rsidRPr="00694646" w:rsidTr="004252DE">
        <w:trPr>
          <w:jc w:val="center"/>
        </w:trPr>
        <w:tc>
          <w:tcPr>
            <w:tcW w:w="2005" w:type="dxa"/>
            <w:tcBorders>
              <w:left w:val="nil"/>
              <w:right w:val="nil"/>
            </w:tcBorders>
          </w:tcPr>
          <w:p w:rsidR="00A5080C" w:rsidRPr="00DB7F5B" w:rsidRDefault="00A5080C" w:rsidP="004252DE">
            <w:pPr>
              <w:rPr>
                <w:rFonts w:ascii="Garamond" w:hAnsi="Garamond"/>
                <w:b/>
                <w:bCs/>
                <w:sz w:val="18"/>
                <w:szCs w:val="18"/>
              </w:rPr>
            </w:pPr>
            <w:r w:rsidRPr="00DB7F5B">
              <w:rPr>
                <w:rFonts w:ascii="Garamond" w:hAnsi="Garamond"/>
                <w:b/>
                <w:bCs/>
                <w:sz w:val="18"/>
                <w:szCs w:val="18"/>
              </w:rPr>
              <w:t>Keywords:</w:t>
            </w:r>
          </w:p>
          <w:p w:rsidR="00A5080C" w:rsidRDefault="00477254" w:rsidP="009B08DC">
            <w:pPr>
              <w:rPr>
                <w:rFonts w:ascii="Garamond" w:hAnsi="Garamond"/>
                <w:iCs/>
                <w:sz w:val="18"/>
                <w:szCs w:val="18"/>
              </w:rPr>
            </w:pPr>
            <w:r>
              <w:rPr>
                <w:rFonts w:ascii="Garamond" w:hAnsi="Garamond"/>
                <w:iCs/>
                <w:sz w:val="18"/>
                <w:szCs w:val="18"/>
              </w:rPr>
              <w:t>1.</w:t>
            </w:r>
            <w:r w:rsidR="004C5ECD">
              <w:rPr>
                <w:rFonts w:ascii="Garamond" w:hAnsi="Garamond"/>
                <w:iCs/>
                <w:sz w:val="18"/>
                <w:szCs w:val="18"/>
              </w:rPr>
              <w:t xml:space="preserve"> </w:t>
            </w:r>
            <w:r w:rsidR="009B08DC">
              <w:rPr>
                <w:rFonts w:ascii="Garamond" w:hAnsi="Garamond"/>
                <w:iCs/>
                <w:sz w:val="18"/>
                <w:szCs w:val="18"/>
              </w:rPr>
              <w:t>E-</w:t>
            </w:r>
            <w:r w:rsidR="004C5ECD" w:rsidRPr="004C5ECD">
              <w:rPr>
                <w:rFonts w:ascii="Garamond" w:hAnsi="Garamond" w:cs="AdvOT4ac4c61e+20"/>
                <w:sz w:val="18"/>
                <w:szCs w:val="18"/>
              </w:rPr>
              <w:t>Gold;</w:t>
            </w:r>
          </w:p>
          <w:p w:rsidR="00477254" w:rsidRPr="004C5ECD" w:rsidRDefault="00477254" w:rsidP="009B08DC">
            <w:pPr>
              <w:rPr>
                <w:rFonts w:ascii="Garamond" w:hAnsi="Garamond"/>
                <w:sz w:val="18"/>
                <w:szCs w:val="18"/>
              </w:rPr>
            </w:pPr>
            <w:r>
              <w:rPr>
                <w:rFonts w:ascii="Garamond" w:hAnsi="Garamond"/>
                <w:iCs/>
                <w:sz w:val="18"/>
                <w:szCs w:val="18"/>
              </w:rPr>
              <w:t>2.</w:t>
            </w:r>
            <w:r w:rsidR="004C5ECD">
              <w:rPr>
                <w:rFonts w:ascii="Garamond" w:hAnsi="Garamond"/>
                <w:iCs/>
                <w:sz w:val="18"/>
                <w:szCs w:val="18"/>
              </w:rPr>
              <w:t xml:space="preserve"> </w:t>
            </w:r>
            <w:r w:rsidR="009B08DC" w:rsidRPr="004C5ECD">
              <w:rPr>
                <w:rFonts w:ascii="Garamond" w:hAnsi="Garamond" w:cs="AdvOT4ac4c61e+20"/>
                <w:sz w:val="18"/>
                <w:szCs w:val="18"/>
              </w:rPr>
              <w:t xml:space="preserve">Economic </w:t>
            </w:r>
            <w:r w:rsidR="009B08DC">
              <w:rPr>
                <w:rFonts w:ascii="Garamond" w:hAnsi="Garamond" w:cs="AdvOT4ac4c61e+20"/>
                <w:sz w:val="18"/>
                <w:szCs w:val="18"/>
              </w:rPr>
              <w:t>Recovery</w:t>
            </w:r>
            <w:r w:rsidR="004C5ECD" w:rsidRPr="004C5ECD">
              <w:rPr>
                <w:rFonts w:ascii="Garamond" w:hAnsi="Garamond" w:cs="AdvOT4ac4c61e+20"/>
                <w:sz w:val="18"/>
                <w:szCs w:val="18"/>
              </w:rPr>
              <w:t>;</w:t>
            </w:r>
          </w:p>
          <w:p w:rsidR="00477254" w:rsidRDefault="00477254" w:rsidP="009B08DC">
            <w:pPr>
              <w:rPr>
                <w:rFonts w:ascii="Garamond" w:hAnsi="Garamond"/>
                <w:iCs/>
                <w:sz w:val="18"/>
                <w:szCs w:val="18"/>
              </w:rPr>
            </w:pPr>
            <w:r>
              <w:rPr>
                <w:rFonts w:ascii="Garamond" w:hAnsi="Garamond"/>
                <w:iCs/>
                <w:sz w:val="18"/>
                <w:szCs w:val="18"/>
              </w:rPr>
              <w:t>3.</w:t>
            </w:r>
            <w:r w:rsidR="009B08DC">
              <w:rPr>
                <w:rFonts w:ascii="Garamond" w:hAnsi="Garamond"/>
                <w:iCs/>
                <w:sz w:val="18"/>
                <w:szCs w:val="18"/>
              </w:rPr>
              <w:t xml:space="preserve"> Covid-19</w:t>
            </w:r>
            <w:r w:rsidR="004C5ECD" w:rsidRPr="004C5ECD">
              <w:rPr>
                <w:rFonts w:ascii="Garamond" w:hAnsi="Garamond" w:cs="AdvOT4ac4c61e+20"/>
                <w:sz w:val="18"/>
                <w:szCs w:val="18"/>
              </w:rPr>
              <w:t>;</w:t>
            </w:r>
          </w:p>
          <w:p w:rsidR="00477254" w:rsidRPr="004C5ECD" w:rsidRDefault="00477254" w:rsidP="00477254">
            <w:pPr>
              <w:rPr>
                <w:rFonts w:ascii="Garamond" w:hAnsi="Garamond"/>
                <w:sz w:val="18"/>
                <w:szCs w:val="18"/>
              </w:rPr>
            </w:pPr>
            <w:r>
              <w:rPr>
                <w:rFonts w:ascii="Garamond" w:hAnsi="Garamond"/>
                <w:iCs/>
                <w:sz w:val="18"/>
                <w:szCs w:val="18"/>
              </w:rPr>
              <w:t>4.</w:t>
            </w:r>
            <w:r w:rsidR="004C5ECD">
              <w:rPr>
                <w:rFonts w:ascii="Garamond" w:hAnsi="Garamond"/>
                <w:iCs/>
                <w:sz w:val="18"/>
                <w:szCs w:val="18"/>
              </w:rPr>
              <w:t xml:space="preserve"> </w:t>
            </w:r>
            <w:r w:rsidR="004C5ECD" w:rsidRPr="004C5ECD">
              <w:rPr>
                <w:rFonts w:ascii="Garamond" w:hAnsi="Garamond" w:cs="AdvOT4ac4c61e+20"/>
                <w:sz w:val="18"/>
                <w:szCs w:val="18"/>
              </w:rPr>
              <w:t>Islamic Economy;</w:t>
            </w:r>
          </w:p>
          <w:p w:rsidR="00477254" w:rsidRPr="00477254" w:rsidRDefault="00477254" w:rsidP="00477254">
            <w:pPr>
              <w:rPr>
                <w:rFonts w:ascii="Garamond" w:hAnsi="Garamond"/>
                <w:iCs/>
                <w:sz w:val="18"/>
                <w:szCs w:val="18"/>
              </w:rPr>
            </w:pPr>
            <w:r>
              <w:rPr>
                <w:rFonts w:ascii="Garamond" w:hAnsi="Garamond"/>
                <w:iCs/>
                <w:sz w:val="18"/>
                <w:szCs w:val="18"/>
              </w:rPr>
              <w:t>5.</w:t>
            </w:r>
            <w:r w:rsidR="004C5ECD">
              <w:rPr>
                <w:rFonts w:ascii="Garamond" w:hAnsi="Garamond"/>
                <w:iCs/>
                <w:sz w:val="18"/>
                <w:szCs w:val="18"/>
              </w:rPr>
              <w:t xml:space="preserve"> </w:t>
            </w:r>
            <w:proofErr w:type="spellStart"/>
            <w:r w:rsidR="004C5ECD" w:rsidRPr="00DB7F5B">
              <w:rPr>
                <w:rFonts w:ascii="Garamond" w:hAnsi="Garamond" w:cs="AdvOT4ac4c61e+20"/>
                <w:sz w:val="18"/>
                <w:szCs w:val="18"/>
              </w:rPr>
              <w:t>Madzhab</w:t>
            </w:r>
            <w:proofErr w:type="spellEnd"/>
          </w:p>
        </w:tc>
        <w:tc>
          <w:tcPr>
            <w:tcW w:w="263" w:type="dxa"/>
            <w:vMerge/>
            <w:tcBorders>
              <w:left w:val="nil"/>
              <w:right w:val="nil"/>
            </w:tcBorders>
          </w:tcPr>
          <w:p w:rsidR="00A5080C" w:rsidRPr="00694646" w:rsidRDefault="00A5080C" w:rsidP="004252DE">
            <w:pPr>
              <w:rPr>
                <w:rFonts w:ascii="Garamond" w:hAnsi="Garamond"/>
                <w:sz w:val="18"/>
                <w:szCs w:val="18"/>
              </w:rPr>
            </w:pPr>
          </w:p>
        </w:tc>
        <w:tc>
          <w:tcPr>
            <w:tcW w:w="5103" w:type="dxa"/>
            <w:vMerge/>
            <w:tcBorders>
              <w:left w:val="nil"/>
              <w:right w:val="nil"/>
            </w:tcBorders>
          </w:tcPr>
          <w:p w:rsidR="00A5080C" w:rsidRPr="00694646" w:rsidRDefault="00A5080C" w:rsidP="004252DE">
            <w:pPr>
              <w:rPr>
                <w:rFonts w:ascii="Garamond" w:hAnsi="Garamond"/>
                <w:sz w:val="18"/>
                <w:szCs w:val="18"/>
              </w:rPr>
            </w:pPr>
          </w:p>
        </w:tc>
      </w:tr>
      <w:tr w:rsidR="00A5080C" w:rsidRPr="00694646" w:rsidTr="004252DE">
        <w:trPr>
          <w:jc w:val="center"/>
        </w:trPr>
        <w:tc>
          <w:tcPr>
            <w:tcW w:w="2005" w:type="dxa"/>
            <w:tcBorders>
              <w:left w:val="nil"/>
              <w:right w:val="nil"/>
            </w:tcBorders>
          </w:tcPr>
          <w:p w:rsidR="00A5080C" w:rsidRPr="00DB7F5B" w:rsidRDefault="00A5080C" w:rsidP="004252DE">
            <w:pPr>
              <w:tabs>
                <w:tab w:val="left" w:pos="1418"/>
                <w:tab w:val="left" w:pos="1701"/>
              </w:tabs>
              <w:jc w:val="both"/>
              <w:rPr>
                <w:rFonts w:ascii="Garamond" w:hAnsi="Garamond" w:cs="AdvOT4ac4c61e+20"/>
                <w:b/>
                <w:bCs/>
                <w:sz w:val="18"/>
                <w:szCs w:val="18"/>
              </w:rPr>
            </w:pPr>
            <w:r w:rsidRPr="00DB7F5B">
              <w:rPr>
                <w:rFonts w:ascii="Garamond" w:hAnsi="Garamond"/>
                <w:b/>
                <w:bCs/>
                <w:sz w:val="18"/>
                <w:szCs w:val="18"/>
              </w:rPr>
              <w:t>Paper Type:</w:t>
            </w:r>
            <w:r w:rsidRPr="00DB7F5B">
              <w:rPr>
                <w:rFonts w:ascii="Garamond" w:hAnsi="Garamond" w:cs="AdvOT4ac4c61e+20"/>
                <w:b/>
                <w:bCs/>
                <w:sz w:val="18"/>
                <w:szCs w:val="18"/>
              </w:rPr>
              <w:t xml:space="preserve"> </w:t>
            </w:r>
          </w:p>
          <w:p w:rsidR="00A5080C" w:rsidRPr="00694646" w:rsidRDefault="00A5080C" w:rsidP="004252DE">
            <w:pPr>
              <w:tabs>
                <w:tab w:val="left" w:pos="1418"/>
                <w:tab w:val="left" w:pos="1701"/>
              </w:tabs>
              <w:jc w:val="both"/>
              <w:rPr>
                <w:rFonts w:ascii="Garamond" w:hAnsi="Garamond" w:cs="AdvOT4ac4c61e+20"/>
                <w:sz w:val="18"/>
                <w:szCs w:val="18"/>
              </w:rPr>
            </w:pPr>
            <w:r w:rsidRPr="00694646">
              <w:rPr>
                <w:rFonts w:ascii="Garamond" w:hAnsi="Garamond"/>
                <w:sz w:val="18"/>
                <w:szCs w:val="18"/>
              </w:rPr>
              <w:t>Research Paper</w:t>
            </w:r>
          </w:p>
          <w:p w:rsidR="00A5080C" w:rsidRPr="00694646" w:rsidRDefault="00A5080C" w:rsidP="004252DE">
            <w:pPr>
              <w:rPr>
                <w:rFonts w:ascii="Garamond" w:hAnsi="Garamond"/>
                <w:i/>
                <w:iCs/>
                <w:sz w:val="18"/>
                <w:szCs w:val="18"/>
              </w:rPr>
            </w:pPr>
          </w:p>
        </w:tc>
        <w:tc>
          <w:tcPr>
            <w:tcW w:w="263" w:type="dxa"/>
            <w:vMerge/>
            <w:tcBorders>
              <w:left w:val="nil"/>
              <w:right w:val="nil"/>
            </w:tcBorders>
          </w:tcPr>
          <w:p w:rsidR="00A5080C" w:rsidRPr="00694646" w:rsidRDefault="00A5080C" w:rsidP="004252DE">
            <w:pPr>
              <w:rPr>
                <w:rFonts w:ascii="Garamond" w:hAnsi="Garamond"/>
                <w:sz w:val="18"/>
                <w:szCs w:val="18"/>
              </w:rPr>
            </w:pPr>
          </w:p>
        </w:tc>
        <w:tc>
          <w:tcPr>
            <w:tcW w:w="5103" w:type="dxa"/>
            <w:vMerge/>
            <w:tcBorders>
              <w:left w:val="nil"/>
              <w:right w:val="nil"/>
            </w:tcBorders>
          </w:tcPr>
          <w:p w:rsidR="00A5080C" w:rsidRPr="00694646" w:rsidRDefault="00A5080C" w:rsidP="004252DE">
            <w:pPr>
              <w:rPr>
                <w:rFonts w:ascii="Garamond" w:hAnsi="Garamond"/>
                <w:sz w:val="18"/>
                <w:szCs w:val="18"/>
              </w:rPr>
            </w:pPr>
          </w:p>
        </w:tc>
      </w:tr>
    </w:tbl>
    <w:p w:rsidR="00A01C21" w:rsidRPr="00D32285" w:rsidRDefault="008A72D4" w:rsidP="00D32285">
      <w:pPr>
        <w:pStyle w:val="Heading1"/>
        <w:spacing w:before="240" w:after="120" w:line="240" w:lineRule="auto"/>
        <w:rPr>
          <w:rFonts w:asciiTheme="majorBidi" w:hAnsiTheme="majorBidi" w:cstheme="majorBidi"/>
          <w:color w:val="000000"/>
        </w:rPr>
      </w:pPr>
      <w:r w:rsidRPr="00D32285">
        <w:rPr>
          <w:rFonts w:asciiTheme="majorBidi" w:hAnsiTheme="majorBidi" w:cstheme="majorBidi"/>
          <w:color w:val="000000"/>
        </w:rPr>
        <w:t>INTRODUCTION</w:t>
      </w:r>
    </w:p>
    <w:p w:rsidR="003A66C2" w:rsidRPr="00D32285" w:rsidRDefault="003A66C2" w:rsidP="003A66C2">
      <w:pPr>
        <w:pStyle w:val="NormalWeb"/>
        <w:spacing w:before="240" w:beforeAutospacing="0" w:after="0" w:afterAutospacing="0" w:line="300" w:lineRule="auto"/>
        <w:ind w:firstLine="720"/>
        <w:jc w:val="both"/>
        <w:rPr>
          <w:rFonts w:asciiTheme="majorBidi" w:eastAsia="BatangChe" w:hAnsiTheme="majorBidi" w:cstheme="majorBidi"/>
          <w:color w:val="000000"/>
          <w:lang w:eastAsia="ko-KR"/>
        </w:rPr>
      </w:pPr>
      <w:r w:rsidRPr="00D32285">
        <w:rPr>
          <w:rFonts w:asciiTheme="majorBidi" w:eastAsia="BatangChe" w:hAnsiTheme="majorBidi" w:cstheme="majorBidi"/>
          <w:color w:val="000000"/>
          <w:lang w:eastAsia="ko-KR"/>
        </w:rPr>
        <w:t xml:space="preserve">COVID-19 is known to be frequently associated with coagulopathy and thrombotic complications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author":[{"dropping-particle":"","family":"Coagulopathy","given":"Covid--associated","non-dropping-particle":"","parse-names":false,"suffix":""},{"dropping-particle":"","family":"Iba","given":"Toshiaki","non-dropping-particle":"","parse-names":false,"suffix":""},{"dropping-particle":"","family":"Warkentin","given":"Theodore E","non-dropping-particle":"","parse-names":false,"suffix":""},{"dropping-particle":"","family":"Thachil","given":"Jecko","non-dropping-particle":"","parse-names":false,"suffix":""},{"dropping-particle":"","family":"Levi","given":"Marcel","non-dropping-particle":"","parse-names":false,"suffix":""},{"dropping-particle":"","family":"Levy","given":"Jerrold H","non-dropping-particle":"","parse-names":false,"suffix":""}],"container-title":"J Clin Med","id":"ITEM-1","issue":"191","issued":{"date-parts":[["2021"]]},"page":"1-9","title":"Proposal of the Definition for","type":"article-journal","volume":"10"},"uris":["http://www.mendeley.com/documents/?uuid=1733148f-b283-46f0-9d56-c05794b60c4b"]}],"mendeley":{"formattedCitation":"(Coagulopathy et al., 2021)","plainTextFormattedCitation":"(Coagulopathy et al., 2021)","previouslyFormattedCitation":"Covid--associated Coagulopathy et al., “Proposal of the Definition For,” &lt;i&gt;J Clin Med&lt;/i&gt; 10, no. 191 (2021): 1–9."},"properties":{"noteIndex":0},"schema":"https://github.com/citation-style-language/schema/raw/master/csl-citation.json"}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(Coagulopathy et al., 2021)</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 xml:space="preserve">. Coronavirus disease 2019 (COVID-19) is caused by coronavirus 2 causing severe acute respiratory illness (SARS-CoV-2). In December of 2019, the new virus was </w:t>
      </w:r>
      <w:r w:rsidRPr="00D32285">
        <w:rPr>
          <w:rFonts w:asciiTheme="majorBidi" w:eastAsia="BatangChe" w:hAnsiTheme="majorBidi" w:cstheme="majorBidi"/>
          <w:color w:val="000000"/>
          <w:lang w:eastAsia="ko-KR"/>
        </w:rPr>
        <w:lastRenderedPageBreak/>
        <w:t xml:space="preserve">first found in a cluster of individuals with atypical pneumonia in Wuhan, China. By the end of January 2020, it was evident that illnesses were efficiently spreading from person to person and that there was a broader clinical spectrum of infections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{"citationItems":[{"id":"ITEM-1","itemData":{"DOI":"10.1016/S2468-2667(20)30089-X","ISSN":"24682667","PMID":"32330458","abstract":"Background: When a new infectious disease emerges, appropriate case definitions are important for clinical diagnosis and for public health surveillance. Tracking case numbers over time is important to establish the speed of spread and the effectiveness of interventions. We aimed to assess whether changes in case definitions affected inferences on the transmission dynamics of coronavirus disease 2019 (COVID-19) in China. Methods: We examined changes in the case definition for COVID-19 in mainland China during the first epidemic wave. We used exponential growth models to estimate how changes in the case definitions affected the number of cases reported each day. We then inferred how the epidemic curve would have appeared if the same case definition had been used throughout the epidemic. Findings: From Jan 15 to March 3, 2020, seven versions of the case definition for COVID-19 were issued by the National Health Commission in China. We estimated that when the case definitions were changed, the proportion of infections being detected as cases increased by 7·1 times (95% credible interval [CrI] 4·8–10·9) from version 1 to 2, 2·8 times (1·9–4·2) from version 2 to 4, and 4·2 times (2·6–7·3) from version 4 to 5. If the fifth version of the case definition had been applied throughout the outbreak with sufficient testing capacity, we estimated that by Feb 20, 2020, there would have been 232 000 (95% CrI 161 000–359 000) confirmed cases in China as opposed to the 55 508 confirmed cases reported. Interpretation: The case definition was initially narrow and was gradually broadened to allow detection of more cases as knowledge increased, particularly milder cases and those without epidemiological links to Wuhan, China, or other known cases. These changes should be taken into account when making inferences on epidemic growth rates and doubling times, and therefore on the reproductive number, to avoid bias. Funding: Health and Medical Research Fund, Hong Kong.","author":[{"dropping-particle":"","family":"Tsang","given":"Tim K.","non-dropping-particle":"","parse-names":false,"suffix":""},{"dropping-particle":"","family":"Wu","given":"Peng","non-dropping-particle":"","parse-names":false,"suffix":""},{"dropping-particle":"","family":"Lin","given":"Yun","non-dropping-particle":"","parse-names":false,"suffix":""},{"dropping-particle":"","family":"Lau","given":"Eric H.Y.","non-dropping-particle":"","parse-names":false,"suffix":""},{"dropping-particle":"","family":"Leung","given":"Gabriel M.","non-dropping-particle":"","parse-names":false,"suffix":""},{"dropping-particle":"","family":"Cowling","given":"Benjamin J.","non-dropping-particle":"","parse-names":false,"suffix":""}],"container-title":"The Lancet Public Health","id":"ITEM-1","issue":"5","issued":{"date-parts":[["2020"]]},"page":"e289-e296","publisher":"The Author(s). Published by Elsevier Ltd. This is an Open Access article under the CC BY-NC-ND 4.0 license","title":"Effect of changing case definitions for COVID-19 on the epidemic curve and transmission parameters in mainland China: a modelling study","type":"article-journal","volume":"5"},"uris":["http://www.mendeley.com/documents/?uuid=d384c0d4-7b81-4687-a2db-ace839e6db6b"]}],"mendeley":{"formattedCitation":"(Tsang et al., 2020)","plainTextFormattedCitation":"(Tsang et al., 2020)","previouslyFormattedCitation":"Tim K. Tsang et al., “Effect of Changing Case Definitions for COVID-19 on the Epidemic Curve and Transmission Parameters in Mainland China: A Modelling Study,” &lt;i&gt;The Lancet Public Health&lt;/i&gt; 5, no. 5 (2020): e289–96, https://doi.org/10.1016/S2468-2667(20)30089-X."},"properties":{"noteIndex":0},"schema":"https://github.com/citation-style-language/schema/raw/master/csl-citation.json"}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(Tsang et al., 2020)</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 xml:space="preserve">. Globally, as of 4:15pm CET, 24 January 2023, there have been 664,618,938 confirmed cases of COVID-19, including 6,722,949 deaths, reported to WHO. As of 16 January 2023, a total of 13,131,550,798 vaccine doses have been administered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{"citationItems":[{"id":"ITEM-1","itemData":{"URL":"https://covid19.who.int/","author":[{"dropping-particle":"","family":"World Health Organization","given":"","non-dropping-particle":"","parse-names":false,"suffix":""}],"container-title":"WHO Official Website","id":"ITEM-1","issued":{"date-parts":[["2023"]]},"title":"WHO Coronavirus (COVID-19) Dashboard Overview","type":"webpage"},"uris":["http://www.mendeley.com/documents/?uuid=fdff58c8-ea86-406d-b0e0-dc3c917e07d9"]}],"mendeley":{"formattedCitation":"(World Health Organization, 2023b)","plainTextFormattedCitation":"(World Health Organization, 2023b)","previouslyFormattedCitation":"World Health Organization, “WHO Coronavirus (COVID-19) Dashboard Overview,” WHO Official Website, 2023, https://covid19.who.int/."},"properties":{"noteIndex":0},"schema":"https://github.com/citation-style-language/schema/raw/master/csl-citation.json"}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(World Health Organization, 2023b)</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 xml:space="preserve">. In Indonesia, from 3 January 2020 to 4:15pm CET, 24 January 2023, there have been 6,728,402 confirmed cases of COVID-19 with 160,793 deaths, reported to WHO. As of 16 January 2023, a total of 444,303,130 vaccine doses have been administered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{"citationItems":[{"id":"ITEM-1","itemData":{"URL":"https://covid19.who.int/region/searo/country/id","author":[{"dropping-particle":"","family":"World Health Organization","given":"","non-dropping-particle":"","parse-names":false,"suffix":""}],"container-title":"WHO Official Website","id":"ITEM-1","issued":{"date-parts":[["2023"]]},"title":"WHO Coronavirus (COVID-19) Country Overview","type":"webpage"},"uris":["http://www.mendeley.com/documents/?uuid=f888e51b-f6b3-4b6b-a43a-f7a23e06ed2e"]}],"mendeley":{"formattedCitation":"(World Health Organization, 2023a)","plainTextFormattedCitation":"(World Health Organization, 2023a)","previouslyFormattedCitation":"World Health Organization, “WHO Coronavirus (COVID-19) Country Overview,” WHO Official Website, 2023, https://covid19.who.int/region/searo/country/id."},"properties":{"noteIndex":0},"schema":"https://github.com/citation-style-language/schema/raw/master/csl-citation.json"}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(World Health Organization, 2023a)</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w:t>
      </w:r>
    </w:p>
    <w:p w:rsidR="003A66C2" w:rsidRPr="00D32285" w:rsidRDefault="003A66C2" w:rsidP="003A66C2">
      <w:pPr>
        <w:pStyle w:val="NormalWeb"/>
        <w:spacing w:before="0" w:beforeAutospacing="0" w:after="0" w:afterAutospacing="0" w:line="300" w:lineRule="auto"/>
        <w:ind w:firstLine="720"/>
        <w:jc w:val="both"/>
        <w:rPr>
          <w:rFonts w:asciiTheme="majorBidi" w:eastAsia="BatangChe" w:hAnsiTheme="majorBidi" w:cstheme="majorBidi"/>
          <w:color w:val="000000"/>
          <w:lang w:eastAsia="ko-KR"/>
        </w:rPr>
      </w:pPr>
      <w:r w:rsidRPr="00D32285">
        <w:rPr>
          <w:rFonts w:asciiTheme="majorBidi" w:eastAsia="BatangChe" w:hAnsiTheme="majorBidi" w:cstheme="majorBidi"/>
          <w:color w:val="000000"/>
          <w:lang w:eastAsia="ko-KR"/>
        </w:rPr>
        <w:t xml:space="preserve">The COVID-19 pandemic has had an extraordinary impact on the world economy and the affected countries. The threat of recession and depression is in sight. To prevent, or at least reduce, the rate of transmission, a number of affected countries have implemented lock-downs, regional quarantines, and large-scale social restrictions. A number of flights were suspended in many countries. Land and sea transportation are also restricted. A number of industries stopped production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{"citationItems":[{"id":"ITEM-1","itemData":{"abstract":"Pandemi COVID-19 telah menimbulkan dampak multisektor, termasuk mengganggu pertumbuhan ekonomi banyak negara. Penelitian ini bertujuan menganalisis dampak pandemi COVID-19 serta perbedaan kawasan dan status negara terhadap pertumbuhan ekonomi negara-negara terdampak. Metode yang digunakan adalah metode kuantitatif dengan sampel jenuh 135 negara, dan pendekatan analisis regresi dengan dummy variable. Hasil penelitian menunjukkan, variabel kasus pandemi, waktu paparan, jumlah penduduk, perbedaan kawasan dan perbedaan status negara mempengaruhi pertumbuhan ekonomi negara terdampak (R² 0.6373). Jika pandemi terkendali serta tidak ada disparitas tatakelola antara kawasan dan antar status negara, maka pertumbuhan ekonomi global berpotensi positif 0.18%. Tatakelola pandemi di kawasan Asia, Amerika dan Afrika berbeda signifikans dengan tatakelola di kawasan Australia. Negara miskin berbeda dengan negara maju, tapi tidak berbeda dengan negara menengah dalam menata kelola pandemi di wilayahnya. Secara relatif dampak pandemi di kawasan Asia, Amerika dan Afrika lebih berat dibanding kawasan lainnya.","author":[{"dropping-particle":"","family":"Junaedi","given":"Dedi","non-dropping-particle":"","parse-names":false,"suffix":""},{"dropping-particle":"","family":"Salistia","given":"Faisal","non-dropping-particle":"","parse-names":false,"suffix":""}],"container-title":"Simposium Nasional Keuangan Negara","id":"ITEM-1","issued":{"date-parts":[["2020"]]},"page":"995-1115","title":"Dampak Pandemi COVID-19 Terhadap Pertumbuhan Ekonomi Negara-Negara Terdampak","type":"article"},"uris":["http://www.mendeley.com/documents/?uuid=116e5fc2-80d9-498a-b752-fa4c81dcd084"]}],"mendeley":{"formattedCitation":"(Junaedi &amp; Salistia, 2020)","plainTextFormattedCitation":"(Junaedi &amp; Salistia, 2020)","previouslyFormattedCitation":"Dedi Junaedi and Faisal Salistia, “Dampak Pandemi COVID-19 Terhadap Pertumbuhan Ekonomi Negara-Negara Terdampak,” &lt;i&gt;Simposium Nasional Keuangan Negara&lt;/i&gt;, 2020."},"properties":{"noteIndex":0},"schema":"https://github.com/citation-style-language/schema/raw/master/csl-citation.json"}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(Junaedi &amp; Salistia, 2020)</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 xml:space="preserve">. Based on study which was conducted by </w:t>
      </w:r>
      <w:proofErr w:type="spellStart"/>
      <w:r w:rsidRPr="00D32285">
        <w:rPr>
          <w:rFonts w:asciiTheme="majorBidi" w:eastAsia="BatangChe" w:hAnsiTheme="majorBidi" w:cstheme="majorBidi"/>
          <w:color w:val="000000"/>
          <w:lang w:eastAsia="ko-KR"/>
        </w:rPr>
        <w:t>Nasution</w:t>
      </w:r>
      <w:proofErr w:type="spellEnd"/>
      <w:r w:rsidRPr="00D32285">
        <w:rPr>
          <w:rFonts w:asciiTheme="majorBidi" w:eastAsia="BatangChe" w:hAnsiTheme="majorBidi" w:cstheme="majorBidi"/>
          <w:color w:val="000000"/>
          <w:lang w:eastAsia="ko-KR"/>
        </w:rPr>
        <w:t xml:space="preserve"> at all (2020) shown the impact of the Covid-19 pandemic resulted in a lack of investor trust in the market, which in turn caused the market to tend to be negative. In order to deliver economic direction, strategic fiscal and monetary actions are required. In addition, the slow pace of the world economy, particularly Indonesian export activities to China, has a substantial impact on the economy of Indonesia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{"citationItems":[{"id":"ITEM-1","itemData":{"DOI":"10.22216/jbe.v5i2.5313","abstract":"&lt;p&gt;&lt;em&gt;This study aims to determine the impact of the COVID-19 pandemic on the Indonesian economy. Until this research was written, 93 countries were found infected with COVID-19. The spread of COVID-19 which had spread eventually brought very bad risks to the world economy, including Indonesia, especially in terms of tourism, trade and investment. The method used in this research is descriptive quantitative method that uses an approach called secondary data analysis, which is a research methodology that uses secondary data as the main data source. Based on the results of the study, Indonesia is currently still in a stable economic situation. Strategic steps related to fiscal and monetary are also estimated to still have room to provide economic stimulus if needed. However, as the COVID-19 pandemic case developed, the market did fluctuate more in the negative direction. Not only that, the slow pace of Indonesia's export activities to China will also have a significant impact on the economy in Indonesia.&lt;/em&gt;&lt;/p&gt;&lt;p&gt;&lt;em&gt;&lt;br /&gt;&lt;/em&gt;&lt;/p&gt;&lt;p&gt;&lt;em&gt;Penelitian ini bertujuan untuk mengetahui dampak pandemi COVID-19 terhadap perekonomian Indonesia. Hingga penelitian ini ditulis ditemukan 93 negara yang telah terjangkit COVID-19. Pandemi COVID-19 yang telah menyebar pada akhirnya membawa risiko yang sangat buruk bagi perekonomian dunia termasuk Indonesia khususnya dari sisi pariwisata, perdagangan serta investasi. Metode yang digunakan dalam penelitian ini adalah metode kuantitatif deskriptif dengan menggunakan pendekatan analisis data sekunder. Berdasarkan hasil penelitian, dampak pandemi COVID-19 menyebabkan rendahnya sentimen investor terhadap pasar yang pada akhirnya membawa pasar ke arah cenderung negatif. Langkah-langkah strategis terkait fiskal dan moneter sangat dibutuhkan untuk memberikan rangsangan ekonomi. Seiring berkembangnya kasus pandemi COVID-19, pasar lebih berfluktuasi ke arah yang negatif. Tidak hanya itu saja, lambatnya ekonomi global khususnya kegiatan ekspor Indonesia ke China juga berdampak signifikan terhadap perekonomian Indonesia. Hal tersebut berdasarkan analisis sensitivitas yang menjelaskan bahwa lambatnya ekonomi global saat ini sangat berdampak terhadap pertumbuhan perekonomian Indonesia.&lt;/em&gt;&lt;/p&gt;","author":[{"dropping-particle":"","family":"Nasution","given":"Dito Aditia Darma","non-dropping-particle":"","parse-names":false,"suffix":""},{"dropping-particle":"","family":"Erlina","given":"Erlina","non-dropping-particle":"","parse-names":false,"suffix":""},{"dropping-particle":"","family":"Muda","given":"Iskandar","non-dropping-particle":"","parse-names":false,"suffix":""}],"container-title":"Jurnal Benefita","id":"ITEM-1","issue":"2","issued":{"date-parts":[["2020"]]},"page":"212","title":"Dampak Pandemi COVID-19 terhadap Perekonomian Indonesia","type":"article-journal","volume":"5"},"uris":["http://www.mendeley.com/documents/?uuid=d54df34f-ceb4-47a0-8864-723008b177f9"]}],"mendeley":{"formattedCitation":"(Nasution et al., 2020)","plainTextFormattedCitation":"(Nasution et al., 2020)","previouslyFormattedCitation":"Dito Aditia Darma Nasution, Erlina Erlina, and Iskandar Muda, “Dampak Pandemi COVID-19 Terhadap Perekonomian Indonesia,” &lt;i&gt;Jurnal Benefita&lt;/i&gt; 5, no. 2 (2020): 212, https://doi.org/10.22216/jbe.v5i2.5313."},"properties":{"noteIndex":0},"schema":"https://github.com/citation-style-language/schema/raw/master/csl-citation.json"}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(Nasution et al., 2020)</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w:t>
      </w:r>
    </w:p>
    <w:p w:rsidR="003A66C2" w:rsidRPr="00D32285" w:rsidRDefault="003A66C2" w:rsidP="003A66C2">
      <w:pPr>
        <w:pStyle w:val="NormalWeb"/>
        <w:spacing w:before="0" w:beforeAutospacing="0" w:after="0" w:afterAutospacing="0" w:line="300" w:lineRule="auto"/>
        <w:ind w:firstLine="720"/>
        <w:jc w:val="both"/>
        <w:rPr>
          <w:rFonts w:asciiTheme="majorBidi" w:eastAsia="BatangChe" w:hAnsiTheme="majorBidi" w:cstheme="majorBidi"/>
          <w:color w:val="000000"/>
          <w:lang w:eastAsia="ko-KR"/>
        </w:rPr>
      </w:pPr>
      <w:r w:rsidRPr="00D32285">
        <w:rPr>
          <w:rFonts w:asciiTheme="majorBidi" w:eastAsia="BatangChe" w:hAnsiTheme="majorBidi" w:cstheme="majorBidi"/>
          <w:color w:val="000000"/>
          <w:lang w:eastAsia="ko-KR"/>
        </w:rPr>
        <w:t xml:space="preserve">As on 1st January 2023, Government announce the transition phase of Covid-19 status from pandemic to endemic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{"citationItems":[{"id":"ITEM-1","itemData":{"author":[{"dropping-particle":"","family":"Saubani","given":"Andri","non-dropping-particle":"","parse-names":false,"suffix":""}],"container-title":"Republika.co.id","id":"ITEM-1","issued":{"date-parts":[["2022"]]},"title":"PPKM Dicabut, Indonesia Masuki Masa Transisi dari Pandemi ke Endemi","type":"article-newspaper"},"uris":["http://www.mendeley.com/documents/?uuid=e70a0270-c970-46dd-873b-f5a40d7e2a81"]}],"mendeley":{"formattedCitation":"(Saubani, 2022)","plainTextFormattedCitation":"(Saubani, 2022)","previouslyFormattedCitation":"Andri Saubani, “PPKM Dicabut, Indonesia Masuki Masa Transisi Dari Pandemi Ke Endemi,” &lt;i&gt;Republika.Co.Id&lt;/i&gt;, 2022, https://www.republika.co.id/berita/rnpn7r409/ppkm-dicabut-indonesia-masuki-masa-transisi-dari-pandemi-ke-endemi."},"properties":{"noteIndex":0},"schema":"https://github.com/citation-style-language/schema/raw/master/csl-citation.json"}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(Saubani, 2022)</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 xml:space="preserve">. Even though, effect of pandemic Covid-19 still affected to the community especially for economic sectors. The economic recession led to an increase in unemployment, especially among micro- and small-scale firms or domestic industries, and the pandemic COVID-19 contributed to an increase in poverty. Greater numbers of poor families were found in locations with near-poor and vulnerable households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{"citationItems":[{"id":"ITEM-1","itemData":{"DOI":"10.33658/jl.v17i1.249","ISSN":"1978-2306","abstract":"ENGLISHCOVID-19 Pandemic started from March 2020 affected many aspects. This research aims to describe the impacts of pandemic on health, economic, and social in Pati District. It used both qualitative and quantitative approaches. It used secondary data that were obtained from relevant services and references. Then, the data were analyzed descriptively. This research resulted: (1) the impacts of the COVID-19 pandemic on health can be seen through the number of positive COVID-19 cases, mortality, and reduction in health service coverage. Higher positive COVID-19 cases were found in around the center of government and economic activities; (2) COVID-19 Pandemic has disturbed supply and demand of goods and services. This situation affected the decrease of economic growth. Pati’s economic structure is sustained by agriculture and manufactured that still showed positive growth. Thus, the economic slowdown caused the increase of unemployment, particularly on micro and small enterprises or household industries; (3) the impact of pandemic COVID-19 was represented by the poverty increase. Higher number of poor families was found in the areas having near-poor families and vulnerable ones. INDONESIAPandemi COVID-19 yang terjadi sejak bulan Maret 2020 memengaruhi segala aspek kehidupan. Tujuan penelitian adalah mendeskripsikan dampak pandemi dalam aspek kesehatan, ekonomi, dan kesehatan di Kabupaten Pati. Penelitian menggunakan pendekatan kualitatif dan kuantitatif secara bersama. Data yang digunakan adalah data sekunder yang diperoleh dari instansi maupun referensi yang relevan. Selanjutnya data tersebut diolah secara kualitatif dan kuantitatif. Hasil penelitian adalah (1) Dampak pandemi COVID-19 pada aspek kesehatan adalah jumlah kasus positif dan kematian yang cukup tinggi serta penurunan cakupan sebagian besar layanan kesehatan; kasus positif COVID-19 cukup tinggi terjadi di wilayah yang merupakan pusat pemerintahan atau dekat dengan pusat ekonomi; (2) Pandemi COVID-19 menyebabkan perubahan penawaran dan permintaan barang dan jasa. Kondisi tersebut berdampak terhadap penurunan pertumbuhan ekonomi. Struktur perekonomian Kabupaten Pati ditopang oleh sektor usaha pertanian dan industri pengolahan yang masih menunjukkan pertumbuhan positif selama pandemi. Perlambatan ekonomi tersebut selanjutnya menyebabkan peningkatan pengangguran, terutama pada sektor usaha mikro dan kecil serta industri rumah tangga; (3) Dampak sosial pandemi COVID-19 di Kabupaten Pati terwakili …","author":[{"dropping-particle":"","family":"Aeni","given":"Nurul","non-dropping-particle":"","parse-names":false,"suffix":""}],"container-title":"Jurnal Litbang: Media Informasi Penelitian, Pengembangan dan IPTEK","id":"ITEM-1","issue":"1","issued":{"date-parts":[["2021"]]},"page":"17-34","title":"Pandemi COVID-19: Dampak Kesehatan, Ekonomi, &amp; Sosial","type":"article-journal","volume":"17"},"uris":["http://www.mendeley.com/documents/?uuid=62565666-bee6-4b1f-84dc-eb038fd9e027"]}],"mendeley":{"formattedCitation":"(Aeni, 2021)","plainTextFormattedCitation":"(Aeni, 2021)","previouslyFormattedCitation":"Nurul Aeni, “Pandemi COVID-19: Dampak Kesehatan, Ekonomi, &amp; Sosial,” &lt;i&gt;Jurnal Litbang: Media Informasi Penelitian, Pengembangan Dan IPTEK&lt;/i&gt; 17, no. 1 (2021): 17–34, https://doi.org/10.33658/jl.v17i1.249."},"properties":{"noteIndex":0},"schema":"https://github.com/citation-style-language/schema/raw/master/csl-citation.json"}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(Aeni, 2021)</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w:t>
      </w:r>
    </w:p>
    <w:p w:rsidR="003A66C2" w:rsidRPr="00D32285" w:rsidRDefault="003A66C2" w:rsidP="003A66C2">
      <w:pPr>
        <w:pStyle w:val="NormalWeb"/>
        <w:spacing w:before="0" w:beforeAutospacing="0" w:after="0" w:afterAutospacing="0" w:line="300" w:lineRule="auto"/>
        <w:ind w:firstLine="720"/>
        <w:jc w:val="both"/>
        <w:rPr>
          <w:rFonts w:asciiTheme="majorBidi" w:eastAsia="BatangChe" w:hAnsiTheme="majorBidi" w:cstheme="majorBidi"/>
          <w:color w:val="000000"/>
          <w:lang w:eastAsia="ko-KR"/>
        </w:rPr>
      </w:pPr>
      <w:r w:rsidRPr="00D32285">
        <w:rPr>
          <w:rFonts w:asciiTheme="majorBidi" w:eastAsia="BatangChe" w:hAnsiTheme="majorBidi" w:cstheme="majorBidi"/>
          <w:color w:val="000000"/>
          <w:lang w:eastAsia="ko-KR"/>
        </w:rPr>
        <w:lastRenderedPageBreak/>
        <w:t xml:space="preserve">In its research entitle "Is a Worldwide Crisis Imminent?" the World Bank anticipates that a global economic recession may occur in 2023. In 2022, policymakers were more terrified by the possibility of a global recession as they witnessed the rapid deterioration of growth prospects amid growing inflation. This prediction feels even more real with several indications that have started to occur, such as the aggressive increase in benchmark interest rates by the central banks of various countries in an effort to reduce the inflation rate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{"citationItems":[{"id":"ITEM-1","itemData":{"author":[{"dropping-particle":"","family":"Mahdiyan","given":"Alinda","non-dropping-particle":"","parse-names":false,"suffix":""}],"container-title":"KPBU KEMENKEU","id":"ITEM-1","issued":{"date-parts":[["2023","1","25"]]},"title":"Perekonomian dunia diprediksi akan dihantam resesi tahun 2023, bagaimana dengan pembangunan infrastruktur?","type":"article-newspaper"},"uris":["http://www.mendeley.com/documents/?uuid=ee884ca8-5c33-45c1-afe0-d8cde3e7641f"]}],"mendeley":{"formattedCitation":"(Mahdiyan, 2023)","plainTextFormattedCitation":"(Mahdiyan, 2023)","previouslyFormattedCitation":"Alinda Mahdiyan, “Perekonomian Dunia Diprediksi Akan Dihantam Resesi Tahun 2023, Bagaimana Dengan Pembangunan Infrastruktur?,” &lt;i&gt;KPBU KEMENKEU&lt;/i&gt;, January 25, 2023, https://kpbu.kemenkeu.go.id/read/1173-1508/umum/kajian-opini-publik/perekonomian-dunia-diprediksi-akan-dihantam-resesi-tahun-2023-bagaimana-dengan-pembangunan-infrastruktur."},"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(Mahdiyan, 2023)</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 xml:space="preserve">. World Bank analysis indicates that the global economy could escape a recession even if additional monetary policy tightening beyond current market expectations is needed to reduce inflation. Nonetheless, it would require the additional tightening to be implemented in such a way as to generate an orderly adjustment in financial markets. More importantly, policymakers must employ all of their available “tools” to stay ahead of inflation and prevent the likelihood of a steeper downturn in economic growth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{"citationItems":[{"id":"ITEM-1","itemData":{"author":[{"dropping-particle":"","family":"Guénette","given":"Justin Damien","non-dropping-particle":"","parse-names":false,"suffix":""},{"dropping-particle":"","family":"Kose","given":"M Ayhan","non-dropping-particle":"","parse-names":false,"suffix":""},{"dropping-particle":"","family":"Sugawara","given":"Naotaka","non-dropping-particle":"","parse-names":false,"suffix":""}],"id":"ITEM-1","issue":"September","issued":{"date-parts":[["2022"]]},"page":"1-37","title":"Is a Global Recession Imminent? EFI Policy Note 4","type":"article-journal"},"uris":["http://www.mendeley.com/documents/?uuid=34a72eaa-579d-4d07-b8a7-cf06625f8e9e"]}],"mendeley":{"formattedCitation":"(Guénette et al., 2022)","plainTextFormattedCitation":"(Guénette et al., 2022)","previouslyFormattedCitation":"Justin Damien Guénette, M Ayhan Kose, and Naotaka Sugawara, “Is a Global Recession Imminent? EFI Policy Note 4,” no. September (2022): 1–37, https://www.worldbank.org/en/research/brief/global-recession."},"properties":{"noteIndex":0},"schema":"https://github.com/citation-style-language/schema/raw/master/csl-citation.json"}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(Guénette et al., 2022)</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w:t>
      </w:r>
    </w:p>
    <w:p w:rsidR="003A66C2" w:rsidRPr="00D32285" w:rsidRDefault="003A66C2" w:rsidP="003A66C2">
      <w:pPr>
        <w:pStyle w:val="NormalWeb"/>
        <w:spacing w:before="0" w:beforeAutospacing="0" w:after="0" w:afterAutospacing="0" w:line="300" w:lineRule="auto"/>
        <w:ind w:firstLine="720"/>
        <w:jc w:val="both"/>
        <w:rPr>
          <w:rFonts w:asciiTheme="majorBidi" w:eastAsia="BatangChe" w:hAnsiTheme="majorBidi" w:cstheme="majorBidi"/>
          <w:color w:val="000000"/>
          <w:lang w:eastAsia="ko-KR"/>
        </w:rPr>
      </w:pPr>
      <w:r w:rsidRPr="00D32285">
        <w:rPr>
          <w:rFonts w:asciiTheme="majorBidi" w:eastAsia="BatangChe" w:hAnsiTheme="majorBidi" w:cstheme="majorBidi"/>
          <w:color w:val="000000"/>
          <w:lang w:eastAsia="ko-KR"/>
        </w:rPr>
        <w:t xml:space="preserve">One of the </w:t>
      </w:r>
      <w:r w:rsidR="002C45E7" w:rsidRPr="00D32285">
        <w:rPr>
          <w:rFonts w:asciiTheme="majorBidi" w:eastAsia="BatangChe" w:hAnsiTheme="majorBidi" w:cstheme="majorBidi"/>
          <w:color w:val="000000"/>
          <w:lang w:eastAsia="ko-KR"/>
        </w:rPr>
        <w:t>solutions</w:t>
      </w:r>
      <w:r w:rsidRPr="00D32285">
        <w:rPr>
          <w:rFonts w:asciiTheme="majorBidi" w:eastAsia="BatangChe" w:hAnsiTheme="majorBidi" w:cstheme="majorBidi"/>
          <w:color w:val="000000"/>
          <w:lang w:eastAsia="ko-KR"/>
        </w:rPr>
        <w:t xml:space="preserve"> to escape and or prevent the worst effect of economic recession for the community is </w:t>
      </w:r>
      <w:r w:rsidR="002C45E7" w:rsidRPr="00D32285">
        <w:rPr>
          <w:rFonts w:asciiTheme="majorBidi" w:eastAsia="BatangChe" w:hAnsiTheme="majorBidi" w:cstheme="majorBidi"/>
          <w:color w:val="000000"/>
          <w:lang w:eastAsia="ko-KR"/>
        </w:rPr>
        <w:t>minimizing</w:t>
      </w:r>
      <w:r w:rsidRPr="00D32285">
        <w:rPr>
          <w:rFonts w:asciiTheme="majorBidi" w:eastAsia="BatangChe" w:hAnsiTheme="majorBidi" w:cstheme="majorBidi"/>
          <w:color w:val="000000"/>
          <w:lang w:eastAsia="ko-KR"/>
        </w:rPr>
        <w:t xml:space="preserve"> the outcome and prefer for invest. Studies which was conducted by </w:t>
      </w:r>
      <w:proofErr w:type="spellStart"/>
      <w:r w:rsidRPr="00D32285">
        <w:rPr>
          <w:rFonts w:asciiTheme="majorBidi" w:eastAsia="BatangChe" w:hAnsiTheme="majorBidi" w:cstheme="majorBidi"/>
          <w:color w:val="000000"/>
          <w:lang w:eastAsia="ko-KR"/>
        </w:rPr>
        <w:t>Bouri</w:t>
      </w:r>
      <w:proofErr w:type="spellEnd"/>
      <w:r w:rsidRPr="00D32285">
        <w:rPr>
          <w:rFonts w:asciiTheme="majorBidi" w:eastAsia="BatangChe" w:hAnsiTheme="majorBidi" w:cstheme="majorBidi"/>
          <w:color w:val="000000"/>
          <w:lang w:eastAsia="ko-KR"/>
        </w:rPr>
        <w:t xml:space="preserve"> et al. on 2020 have shown mixed results regarding the safe-haven asset properties of gold during the COVID-19 pandemic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author":[{"dropping-particle":"","family":"Bouri","given":"E","non-dropping-particle":"","parse-names":false,"suffix":""},{"dropping-particle":"","family":"Shahzad","given":"S.J.H.","non-dropping-particle":"","parse-names":false,"suffix":""},{"dropping-particle":"","family":"Roubaud","given":"D.","non-dropping-particle":"","parse-names":false,"suffix":""},{"dropping-particle":"","family":"Kristoufek","given":"L.","non-dropping-particle":"","parse-names":false,"suffix":""},{"dropping-particle":"","family":"Lucey","given":"B.","non-dropping-particle":"","parse-names":false,"suffix":""}],"container-title":"The Quarterly Review of Economics and Finance","id":"ITEM-1","issued":{"date-parts":[["2020"]]},"page":"156-164","title":"Bitcoin, gold, and commodities as safe havens for stocks: new insight through wavelet analysis","type":"article-journal","volume":"77"},"uris":["http://www.mendeley.com/documents/?uuid=1a2ced62-9126-42f9-a389-075a768958a8"]}],"mendeley":{"formattedCitation":"(Bouri et al., 2020)","plainTextFormattedCitation":"(Bouri et al., 2020)","previouslyFormattedCitation":"E Bouri et al., “Bitcoin, Gold, and Commodities as Safe Havens for Stocks: New Insight through Wavelet Analysis,” &lt;i&gt;The Quarterly Review of Economics and Finance&lt;/i&gt; 77 (2020): 156–64, https://www.sciencedirect.com/science/article/abs/pii/S1062976920300326."},"properties":{"noteIndex":0},"schema":"https://github.com/citation-style-language/schema/raw/master/csl-citation.json"}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(Bouri et al., 2020)</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 xml:space="preserve">. In this modern era, many millennial are saving aside a portion of their salary or pocket money to buy gold with the hope of achieving a long-term profit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{"citationItems":[{"id":"ITEM-1","itemData":{"abstract":"Penelitian ini bertujuan untuk mengetahui mengenai apa saja yang menjadikan peluang pada investasi emas jangka panjang melalui produk Pembiayaan BSM Cicil Emas Di Bank Syariah Mandiri Kantor Cabang Purwokerto.Metode penelitian ini adalah metode kualitatif dengan menggunakan pendekatan deskriptif berupa studi kepustakaan dan studi kasus yang dilakukan dengan wawancara dan dokumentasi, ditambah dengan pengamatan yang dilakukan oleh peneliti.Hasil dari penelitian ini adalah peluang investasi yang terdapat pada produk ini yaitu kebutuhan nasabah, keuntungan yang didapatkan dari investasi emas, kemudahan dalam jual beli logam mulia emas, kenaikan harga emas yang terus mengalami kenaikan serta persaingan yang masih rendah. Itulah beberapa peluang yang menjadi alasan untuk mengambil produk pembiayaan BSM Cicil Emas di Bank Syariah Mandiri Purwokerto ini sebagai investasi jangka panjang yang cukup menjanjikan.","author":[{"dropping-particle":"","family":"Fauziah","given":"Anggriani","non-dropping-particle":"","parse-names":false,"suffix":""},{"dropping-particle":"","family":"Surya","given":"Mintaraga Emas","non-dropping-particle":"","parse-names":false,"suffix":""}],"container-title":"Islamadina","id":"ITEM-1","issue":"1","issued":{"date-parts":[["2016"]]},"page":"57-73","title":"Peluang Investasi Emas Jangka Panjang melalui Produk Pembiayaan Bsm Cicil Emas","type":"article-journal","volume":"XVI"},"uris":["http://www.mendeley.com/documents/?uuid=2f4b4624-d3f2-4fb7-808d-c56362e2c768"]}],"mendeley":{"formattedCitation":"(A. Fauziah &amp; Surya, 2016)","plainTextFormattedCitation":"(A. Fauziah &amp; Surya, 2016)","previouslyFormattedCitation":"Anggriani Fauziah and Mintaraga Emas Surya, “Peluang Investasi Emas Jangka Panjang Melalui Produk Pembiayaan Bsm Cicil Emas,” &lt;i&gt;Islamadina&lt;/i&gt; XVI, no. 1 (2016): 57–73."},"properties":{"noteIndex":0},"schema":"https://github.com/citation-style-language/schema/raw/master/csl-citation.json"}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(A. Fauziah &amp; Surya, 2016)</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 xml:space="preserve">. One of investment that millennial preferred is Gold investment. Gold investment is one of the most secure and profitable investments. Gold is an investment object whose value tends to increase over time, so gold investment is almost always profitable with low risk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{"citationItems":[{"id":"ITEM-1","itemData":{"author":[{"dropping-particle":"","family":"Fauziah","given":"Mita Rahmawati","non-dropping-particle":"","parse-names":false,"suffix":""}],"container-title":"e-journal Institut Agama Islam Negeri Ambon","id":"ITEM-1","issue":"1","issued":{"date-parts":[["2019"]]},"title":"INVESTASI LOGAM MULIA (EMAS) DI PENGGADAIAN SYARIAH DALAM PERSFEKTIF HUKUM EKONOMI SYARIAH","type":"article-journal","volume":"XV"},"uris":["http://www.mendeley.com/documents/?uuid=9b5a3dc3-0f01-48ce-a2a9-d5ec55284408"]}],"mendeley":{"formattedCitation":"(M. R. Fauziah, 2019)","plainTextFormattedCitation":"(M. R. Fauziah, 2019)","previouslyFormattedCitation":"Mita Rahmawati Fauziah, “INVESTASI LOGAM MULIA (EMAS) DI PENGGADAIAN SYARIAH DALAM PERSFEKTIF HUKUM EKONOMI SYARIAH,” &lt;i&gt;E-Journal Institut Agama Islam Negeri Ambon&lt;/i&gt; XV, no. 1 (2019)."},"properties":{"noteIndex":0},"schema":"https://github.com/citation-style-language/schema/raw/master/csl-citation.json"}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(M. R. Fauziah, 2019)</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w:t>
      </w:r>
    </w:p>
    <w:p w:rsidR="002C45E7" w:rsidRDefault="003A66C2" w:rsidP="002C45E7">
      <w:pPr>
        <w:pStyle w:val="NormalWeb"/>
        <w:spacing w:before="0" w:beforeAutospacing="0" w:after="0" w:afterAutospacing="0" w:line="300" w:lineRule="auto"/>
        <w:ind w:firstLine="720"/>
        <w:jc w:val="both"/>
        <w:rPr>
          <w:rFonts w:asciiTheme="majorBidi" w:eastAsia="BatangChe" w:hAnsiTheme="majorBidi" w:cstheme="majorBidi"/>
          <w:color w:val="000000"/>
          <w:lang w:eastAsia="ko-KR"/>
        </w:rPr>
      </w:pPr>
      <w:r w:rsidRPr="00D32285">
        <w:rPr>
          <w:rFonts w:asciiTheme="majorBidi" w:eastAsia="BatangChe" w:hAnsiTheme="majorBidi" w:cstheme="majorBidi"/>
          <w:color w:val="000000"/>
          <w:lang w:eastAsia="ko-KR"/>
        </w:rPr>
        <w:t>Science and technology have evolved over time and internet being one of innovation that has had a significant impact. Mastery in technology becomes prestige and indicator of developed country especially in this globalization era including Indonesia and it’s marked by development of e-commerce business. Technological developments and digitalization indirectly changes individual or community mindset to use online media and it’s known as e-life. E-life have a lot of various type which are e-commerce, e-library, e-</w:t>
      </w:r>
      <w:r w:rsidRPr="00D32285">
        <w:rPr>
          <w:rFonts w:asciiTheme="majorBidi" w:eastAsia="BatangChe" w:hAnsiTheme="majorBidi" w:cstheme="majorBidi"/>
          <w:color w:val="000000"/>
          <w:lang w:eastAsia="ko-KR"/>
        </w:rPr>
        <w:lastRenderedPageBreak/>
        <w:t xml:space="preserve">government, e-medicine, e-biodiversity, e-laboratory and so on </w:t>
      </w:r>
      <w:r w:rsidRPr="00D32285">
        <w:rPr>
          <w:rFonts w:asciiTheme="majorBidi" w:eastAsia="BatangChe" w:hAnsiTheme="majorBidi" w:cstheme="majorBidi"/>
          <w:color w:val="000000"/>
          <w:lang w:eastAsia="ko-KR"/>
        </w:rPr>
        <w:fldChar w:fldCharType="begin" w:fldLock="1"/>
      </w:r>
      <w:r w:rsidRPr="00D32285">
        <w:rPr>
          <w:rFonts w:asciiTheme="majorBidi" w:eastAsia="BatangChe" w:hAnsiTheme="majorBidi" w:cstheme="majorBidi"/>
          <w:color w:val="000000"/>
          <w:lang w:eastAsia="ko-KR"/>
        </w:rPr>
        <w:instrText>ADDIN CSL_CITATION {"citationItems":[{"id":"ITEM-1","itemData":{"DOI":"10.24252/el-iqthisadi.v2i1.14021","ISSN":"2615-241X","abstract":"AbstractThe advancement of telecommunications, information and computer technology has led to changes in culture and the demands of everyday life, so that it has given birth to new patterns of relationships, including in the business world. One of its flagship media is through e-commerce (electronic commerce). The emergence of concerns about e-commerce transactions, especially the Islamic community in Indonesia, both from a security perspective and a sharia perspective. This paper aims to analyze e-commerce transactions in Islamic economics. The results of the analysis concluded that technically the transaction, both in the form of buying and selling services or goods, if the goods are delivered in a formidable form of non-digital, then e-commerce transactions can be analogous to the sale of al-salam, which has been prescribed from the beginning- the beginning of Islam through the Sunnah of the Holy Prophet. The use of e-commerce in Indonesia is permitted while the two parties understand each other. This article is also to provide general guidance about e-commerce users in running their business. Keywords: Bai 'as-salam, E-Commerce, Islamic Economics.AbstrakKemajuan teknologi telekomunikasi, informasi dan komputer, telah menyebabkan terjadinya perubahan kultur dan tuntutan hidup sehari-hari, sehingga telah melahirkan pola hubungan baru, di antaranya dalam dunia bisnis. Salah satu media andalannya adalah melalui e-commerce (electronic commerce). Munculnya kekhawatiran terhadap transaksi e-commerce khususnya masyarakat Islam di Indonesia, baik dari prespektif keamanan dan prespektif syariah. Tulisan ini bertujuan untuk menganalisis transaksi e-commerce dalam ekonomi syariah. Hasil analisis disimpulkan bahwa secara teknis transaksinya, baik dalam bentuk jual-beli jasa atau barang, kalau barang tersebut diserahkan secara tangguh karena berbentuk non digital, maka transaksi e-commerce dapat dianalogikan kepada jual-beli al-salam, yang telah disyariatkan semenjak awal mulanya Islam melalui Sunnah Nabi saw. Penggunaan e-commerce di Indonesia dibolehkan selagi antara kedua belah pihak saling paham. Artikel ini juga untuk memberikan panduan umum tentang pengguna e-commerce dalam menjalankan bisnisnya.Kata Kunci : Bai’ as-salam, E-Commerce, Ekonomi Syariah.","author":[{"dropping-particle":"","family":"Muhammad","given":"Mahmuda Mulia","non-dropping-particle":"","parse-names":false,"suffix":""}],"container-title":"El-Iqthisadi : Jurnal Hukum Ekonomi Syariah Fakultas Syariah dan Hukum","id":"ITEM-1","issue":"1","issued":{"date-parts":[["2020"]]},"page":"76","title":"Transaksi E-Commerse Dalam Ekonomi Syariah","type":"article-journal","volume":"2"},"uris":["http://www.mendeley.com/documents/?uuid=d8b79b85-cf9e-47e2-bc5e-629c68adece2"]}],"mendeley":{"formattedCitation":"(Muhammad, 2020)","plainTextFormattedCitation":"(Muhammad, 2020)","previouslyFormattedCitation":"Mahmuda Mulia Muhammad, “Transaksi E-Commerse Dalam Ekonomi Syariah,” &lt;i&gt;El-Iqthisadi : Jurnal Hukum Ekonomi Syariah Fakultas Syariah Dan Hukum&lt;/i&gt; 2, no. 1 (2020): 76, https://doi.org/10.24252/el-iqthisadi.v2i1.14021."},"properties":{"noteIndex":0},"schema":"https://github.com/citation-style-language/schema/raw/master/csl-citation.json"}</w:instrText>
      </w:r>
      <w:r w:rsidRPr="00D32285">
        <w:rPr>
          <w:rFonts w:asciiTheme="majorBidi" w:eastAsia="BatangChe" w:hAnsiTheme="majorBidi" w:cstheme="majorBidi"/>
          <w:color w:val="000000"/>
          <w:lang w:eastAsia="ko-KR"/>
        </w:rPr>
        <w:fldChar w:fldCharType="separate"/>
      </w:r>
      <w:r w:rsidRPr="00D32285">
        <w:rPr>
          <w:rFonts w:asciiTheme="majorBidi" w:eastAsia="BatangChe" w:hAnsiTheme="majorBidi" w:cstheme="majorBidi"/>
          <w:color w:val="000000"/>
          <w:lang w:eastAsia="ko-KR"/>
        </w:rPr>
        <w:t>(Muhammad, 2020)</w:t>
      </w:r>
      <w:r w:rsidRPr="00D32285">
        <w:rPr>
          <w:rFonts w:asciiTheme="majorBidi" w:eastAsia="BatangChe" w:hAnsiTheme="majorBidi" w:cstheme="majorBidi"/>
          <w:color w:val="000000"/>
          <w:lang w:eastAsia="ko-KR"/>
        </w:rPr>
        <w:fldChar w:fldCharType="end"/>
      </w:r>
      <w:r w:rsidRPr="00D32285">
        <w:rPr>
          <w:rFonts w:asciiTheme="majorBidi" w:eastAsia="BatangChe" w:hAnsiTheme="majorBidi" w:cstheme="majorBidi"/>
          <w:color w:val="000000"/>
          <w:lang w:eastAsia="ko-KR"/>
        </w:rPr>
        <w:t>.</w:t>
      </w:r>
    </w:p>
    <w:p w:rsidR="00A01C21" w:rsidRPr="002C45E7" w:rsidRDefault="003A66C2" w:rsidP="002C45E7">
      <w:pPr>
        <w:pStyle w:val="NormalWeb"/>
        <w:spacing w:before="0" w:beforeAutospacing="0" w:after="0" w:afterAutospacing="0" w:line="300" w:lineRule="auto"/>
        <w:ind w:firstLine="720"/>
        <w:jc w:val="both"/>
        <w:rPr>
          <w:rFonts w:asciiTheme="majorBidi" w:eastAsia="BatangChe" w:hAnsiTheme="majorBidi" w:cstheme="majorBidi"/>
          <w:color w:val="000000"/>
          <w:lang w:eastAsia="ko-KR"/>
        </w:rPr>
      </w:pPr>
      <w:r w:rsidRPr="00D32285">
        <w:rPr>
          <w:rFonts w:asciiTheme="majorBidi" w:hAnsiTheme="majorBidi" w:cstheme="majorBidi"/>
          <w:color w:val="000000"/>
        </w:rPr>
        <w:t xml:space="preserve">Based on above explanation, the </w:t>
      </w:r>
      <w:r w:rsidR="00D32285" w:rsidRPr="00D32285">
        <w:rPr>
          <w:rFonts w:asciiTheme="majorBidi" w:hAnsiTheme="majorBidi" w:cstheme="majorBidi"/>
          <w:color w:val="000000"/>
        </w:rPr>
        <w:t>research aims</w:t>
      </w:r>
      <w:r w:rsidRPr="00D32285">
        <w:rPr>
          <w:rFonts w:asciiTheme="majorBidi" w:hAnsiTheme="majorBidi" w:cstheme="majorBidi"/>
          <w:color w:val="000000"/>
        </w:rPr>
        <w:t xml:space="preserve"> to analyze the urgency of e-gold investment for </w:t>
      </w:r>
      <w:r w:rsidR="00D32285">
        <w:rPr>
          <w:rFonts w:asciiTheme="majorBidi" w:hAnsiTheme="majorBidi" w:cstheme="majorBidi"/>
          <w:color w:val="000000"/>
        </w:rPr>
        <w:t xml:space="preserve">recovering the economic impact of pandemic and to analyze the </w:t>
      </w:r>
      <w:r w:rsidRPr="00D32285">
        <w:rPr>
          <w:rFonts w:asciiTheme="majorBidi" w:hAnsiTheme="majorBidi" w:cstheme="majorBidi"/>
          <w:color w:val="000000"/>
        </w:rPr>
        <w:t xml:space="preserve">e-gold investment </w:t>
      </w:r>
      <w:r w:rsidR="00D32285">
        <w:rPr>
          <w:rFonts w:asciiTheme="majorBidi" w:hAnsiTheme="majorBidi" w:cstheme="majorBidi"/>
          <w:color w:val="000000"/>
        </w:rPr>
        <w:t xml:space="preserve">base </w:t>
      </w:r>
      <w:r w:rsidRPr="00D32285">
        <w:rPr>
          <w:rFonts w:asciiTheme="majorBidi" w:hAnsiTheme="majorBidi" w:cstheme="majorBidi"/>
          <w:color w:val="000000"/>
        </w:rPr>
        <w:t xml:space="preserve">on </w:t>
      </w:r>
      <w:r w:rsidR="00D32285">
        <w:rPr>
          <w:rFonts w:asciiTheme="majorBidi" w:hAnsiTheme="majorBidi" w:cstheme="majorBidi"/>
          <w:color w:val="000000"/>
        </w:rPr>
        <w:t xml:space="preserve">the </w:t>
      </w:r>
      <w:r w:rsidRPr="00D32285">
        <w:rPr>
          <w:rFonts w:asciiTheme="majorBidi" w:hAnsiTheme="majorBidi" w:cstheme="majorBidi"/>
          <w:color w:val="000000"/>
        </w:rPr>
        <w:t>Islamic economic perspective.</w:t>
      </w:r>
      <w:r w:rsidR="009A0105" w:rsidRPr="00D32285">
        <w:rPr>
          <w:rFonts w:asciiTheme="majorBidi" w:hAnsiTheme="majorBidi" w:cstheme="majorBidi"/>
          <w:color w:val="000000"/>
        </w:rPr>
        <w:t xml:space="preserve"> </w:t>
      </w:r>
    </w:p>
    <w:p w:rsidR="00A01C21" w:rsidRPr="00E74530" w:rsidRDefault="008A72D4" w:rsidP="002C45E7">
      <w:pPr>
        <w:pStyle w:val="Heading1"/>
        <w:spacing w:before="240" w:after="120" w:line="240" w:lineRule="auto"/>
        <w:ind w:left="2801" w:hanging="2801"/>
        <w:rPr>
          <w:rFonts w:asciiTheme="majorBidi" w:hAnsiTheme="majorBidi" w:cstheme="majorBidi"/>
          <w:color w:val="000000"/>
        </w:rPr>
      </w:pPr>
      <w:r w:rsidRPr="00E74530">
        <w:rPr>
          <w:rFonts w:asciiTheme="majorBidi" w:hAnsiTheme="majorBidi" w:cstheme="majorBidi"/>
          <w:color w:val="000000"/>
        </w:rPr>
        <w:t>RESEARCH METHOD</w:t>
      </w:r>
    </w:p>
    <w:p w:rsidR="00A4466A" w:rsidRPr="00E74530" w:rsidRDefault="00965547" w:rsidP="002C45E7">
      <w:pPr>
        <w:pStyle w:val="Body"/>
        <w:spacing w:before="240" w:after="120"/>
        <w:ind w:firstLine="709"/>
        <w:rPr>
          <w:rFonts w:asciiTheme="majorBidi" w:hAnsiTheme="majorBidi" w:cstheme="majorBidi"/>
          <w:szCs w:val="24"/>
        </w:rPr>
      </w:pPr>
      <w:r w:rsidRPr="002C45E7">
        <w:rPr>
          <w:rFonts w:asciiTheme="majorBidi" w:eastAsia="Times New Roman" w:hAnsiTheme="majorBidi" w:cstheme="majorBidi"/>
          <w:color w:val="000000"/>
          <w:szCs w:val="24"/>
          <w:lang w:eastAsia="en-US"/>
        </w:rPr>
        <w:t>This study applied descriptive qualitative with a literature review</w:t>
      </w:r>
      <w:r w:rsidR="004943A8" w:rsidRPr="002C45E7">
        <w:rPr>
          <w:rFonts w:asciiTheme="majorBidi" w:eastAsia="Times New Roman" w:hAnsiTheme="majorBidi" w:cstheme="majorBidi"/>
          <w:color w:val="000000"/>
          <w:szCs w:val="24"/>
          <w:lang w:eastAsia="en-US"/>
        </w:rPr>
        <w:t xml:space="preserve"> or library research</w:t>
      </w:r>
      <w:r w:rsidRPr="002C45E7">
        <w:rPr>
          <w:rFonts w:asciiTheme="majorBidi" w:eastAsia="Times New Roman" w:hAnsiTheme="majorBidi" w:cstheme="majorBidi"/>
          <w:color w:val="000000"/>
          <w:szCs w:val="24"/>
          <w:lang w:eastAsia="en-US"/>
        </w:rPr>
        <w:t xml:space="preserve"> approach</w:t>
      </w:r>
      <w:r w:rsidR="00A4466A" w:rsidRPr="002C45E7">
        <w:rPr>
          <w:rFonts w:asciiTheme="majorBidi" w:eastAsia="Times New Roman" w:hAnsiTheme="majorBidi" w:cstheme="majorBidi"/>
          <w:color w:val="000000"/>
          <w:szCs w:val="24"/>
          <w:lang w:eastAsia="en-US"/>
        </w:rPr>
        <w:t xml:space="preserve">. The data collected through documentation from authoritative agent on </w:t>
      </w:r>
      <w:r w:rsidR="004943A8" w:rsidRPr="002C45E7">
        <w:rPr>
          <w:rFonts w:asciiTheme="majorBidi" w:eastAsia="Times New Roman" w:hAnsiTheme="majorBidi" w:cstheme="majorBidi"/>
          <w:color w:val="000000"/>
          <w:szCs w:val="24"/>
          <w:lang w:eastAsia="en-US"/>
        </w:rPr>
        <w:t xml:space="preserve">investment business </w:t>
      </w:r>
      <w:r w:rsidR="00A4466A" w:rsidRPr="002C45E7">
        <w:rPr>
          <w:rFonts w:asciiTheme="majorBidi" w:eastAsia="Times New Roman" w:hAnsiTheme="majorBidi" w:cstheme="majorBidi"/>
          <w:color w:val="000000"/>
          <w:szCs w:val="24"/>
          <w:lang w:eastAsia="en-US"/>
        </w:rPr>
        <w:t>and observation</w:t>
      </w:r>
      <w:r w:rsidR="004943A8" w:rsidRPr="002C45E7">
        <w:rPr>
          <w:rFonts w:asciiTheme="majorBidi" w:eastAsia="Times New Roman" w:hAnsiTheme="majorBidi" w:cstheme="majorBidi"/>
          <w:color w:val="000000"/>
          <w:szCs w:val="24"/>
          <w:lang w:eastAsia="en-US"/>
        </w:rPr>
        <w:t xml:space="preserve"> on economic turbulence impact during the days of Covid-19 pandemic</w:t>
      </w:r>
      <w:r w:rsidR="00A4466A" w:rsidRPr="002C45E7">
        <w:rPr>
          <w:rFonts w:asciiTheme="majorBidi" w:eastAsia="Times New Roman" w:hAnsiTheme="majorBidi" w:cstheme="majorBidi"/>
          <w:color w:val="000000"/>
          <w:szCs w:val="24"/>
          <w:lang w:eastAsia="en-US"/>
        </w:rPr>
        <w:t>. The data obtained from market review report</w:t>
      </w:r>
      <w:r w:rsidR="004943A8" w:rsidRPr="002C45E7">
        <w:rPr>
          <w:rFonts w:asciiTheme="majorBidi" w:eastAsia="Times New Roman" w:hAnsiTheme="majorBidi" w:cstheme="majorBidi"/>
          <w:color w:val="000000"/>
          <w:szCs w:val="24"/>
          <w:lang w:eastAsia="en-US"/>
        </w:rPr>
        <w:t>s</w:t>
      </w:r>
      <w:r w:rsidR="00A4466A" w:rsidRPr="002C45E7">
        <w:rPr>
          <w:rFonts w:asciiTheme="majorBidi" w:eastAsia="Times New Roman" w:hAnsiTheme="majorBidi" w:cstheme="majorBidi"/>
          <w:color w:val="000000"/>
          <w:szCs w:val="24"/>
          <w:lang w:eastAsia="en-US"/>
        </w:rPr>
        <w:t>, finance symposium summary, economic and business news, article journals, and some relevant books.</w:t>
      </w:r>
      <w:r w:rsidR="004943A8" w:rsidRPr="002C45E7">
        <w:rPr>
          <w:rFonts w:asciiTheme="majorBidi" w:eastAsia="Times New Roman" w:hAnsiTheme="majorBidi" w:cstheme="majorBidi"/>
          <w:color w:val="000000"/>
          <w:szCs w:val="24"/>
          <w:lang w:eastAsia="en-US"/>
        </w:rPr>
        <w:t xml:space="preserve"> While the data analysis technique developed base on conclusion drawing technique in order to fine out a systematical analysis as well as objective conclusion.</w:t>
      </w:r>
      <w:r w:rsidR="00A4466A" w:rsidRPr="00E74530">
        <w:rPr>
          <w:rFonts w:asciiTheme="majorBidi" w:hAnsiTheme="majorBidi" w:cstheme="majorBidi"/>
          <w:szCs w:val="24"/>
        </w:rPr>
        <w:t xml:space="preserve">  </w:t>
      </w:r>
      <w:r w:rsidRPr="00E74530">
        <w:rPr>
          <w:rFonts w:asciiTheme="majorBidi" w:hAnsiTheme="majorBidi" w:cstheme="majorBidi"/>
          <w:szCs w:val="24"/>
        </w:rPr>
        <w:t xml:space="preserve"> </w:t>
      </w:r>
    </w:p>
    <w:p w:rsidR="00A01C21" w:rsidRPr="002C45E7" w:rsidRDefault="008A72D4" w:rsidP="002C45E7">
      <w:pPr>
        <w:pStyle w:val="Heading1"/>
        <w:spacing w:before="120" w:after="120" w:line="240" w:lineRule="auto"/>
        <w:rPr>
          <w:rFonts w:asciiTheme="majorBidi" w:hAnsiTheme="majorBidi" w:cstheme="majorBidi"/>
          <w:color w:val="000000"/>
        </w:rPr>
      </w:pPr>
      <w:r w:rsidRPr="002C45E7">
        <w:rPr>
          <w:rFonts w:asciiTheme="majorBidi" w:hAnsiTheme="majorBidi" w:cstheme="majorBidi"/>
          <w:color w:val="000000"/>
        </w:rPr>
        <w:t>RESULT AND DISCUSSION</w:t>
      </w:r>
    </w:p>
    <w:p w:rsidR="00A01C21" w:rsidRPr="002C45E7" w:rsidRDefault="00A01C21" w:rsidP="002C45E7">
      <w:pPr>
        <w:pStyle w:val="Heading2"/>
        <w:spacing w:before="240" w:after="120"/>
        <w:rPr>
          <w:rFonts w:asciiTheme="majorBidi" w:hAnsiTheme="majorBidi" w:cstheme="majorBidi"/>
          <w:color w:val="000000"/>
        </w:rPr>
      </w:pPr>
      <w:r w:rsidRPr="002C45E7">
        <w:rPr>
          <w:rFonts w:asciiTheme="majorBidi" w:hAnsiTheme="majorBidi" w:cstheme="majorBidi"/>
          <w:color w:val="000000"/>
        </w:rPr>
        <w:t xml:space="preserve">1. </w:t>
      </w:r>
      <w:r w:rsidR="00C77BA0" w:rsidRPr="002C45E7">
        <w:rPr>
          <w:rFonts w:asciiTheme="majorBidi" w:hAnsiTheme="majorBidi" w:cstheme="majorBidi"/>
          <w:color w:val="000000"/>
        </w:rPr>
        <w:t>Gold Investment</w:t>
      </w:r>
    </w:p>
    <w:p w:rsidR="002C45E7" w:rsidRDefault="00C77BA0" w:rsidP="002C45E7">
      <w:pPr>
        <w:spacing w:line="300" w:lineRule="auto"/>
        <w:ind w:firstLine="709"/>
        <w:jc w:val="both"/>
        <w:rPr>
          <w:rFonts w:asciiTheme="majorBidi" w:eastAsia="BatangChe" w:hAnsiTheme="majorBidi" w:cstheme="majorBidi"/>
          <w:color w:val="000000"/>
          <w:lang w:eastAsia="ko-KR"/>
        </w:rPr>
      </w:pPr>
      <w:r w:rsidRPr="002C45E7">
        <w:rPr>
          <w:rFonts w:asciiTheme="majorBidi" w:eastAsia="BatangChe" w:hAnsiTheme="majorBidi" w:cstheme="majorBidi"/>
          <w:color w:val="000000"/>
          <w:lang w:eastAsia="ko-KR"/>
        </w:rPr>
        <w:t xml:space="preserve">Gold is an excellent investment alternative since it is more stable than other financial assets. The reasons include gold as an inflation hedge, gold investment as an attractive alternative to fixed income investment, gold investment as a less risky investment than stock investment, and currency exchange rates and their impact on gold investment returns </w:t>
      </w:r>
      <w:r w:rsidRPr="002C45E7">
        <w:rPr>
          <w:rFonts w:asciiTheme="majorBidi" w:eastAsia="BatangChe" w:hAnsiTheme="majorBidi" w:cstheme="majorBidi"/>
          <w:color w:val="000000"/>
          <w:lang w:eastAsia="ko-KR"/>
        </w:rPr>
        <w:fldChar w:fldCharType="begin" w:fldLock="1"/>
      </w:r>
      <w:r w:rsidRPr="002C45E7">
        <w:rPr>
          <w:rFonts w:asciiTheme="majorBidi" w:eastAsia="BatangChe" w:hAnsiTheme="majorBidi" w:cstheme="majorBidi"/>
          <w:color w:val="000000"/>
          <w:lang w:eastAsia="ko-KR"/>
        </w:rPr>
        <w:instrText>ADDIN CSL_CITATION {"citationItems":[{"id":"ITEM-1","itemData":{"author":[{"dropping-particle":"","family":"Panda","given":"Rajesh","non-dropping-particle":"","parse-names":false,"suffix":""},{"dropping-particle":"","family":"Sethi","given":"Madhvi","non-dropping-particle":"","parse-names":false,"suffix":""}],"container-title":"Indian Journal of Finance","id":"ITEM-1","issue":"5","issued":{"date-parts":[["2016"]]},"title":"Gold as an Investment Option in India: Myth and Reality","type":"article-journal","volume":"10"},"uris":["http://www.mendeley.com/documents/?uuid=0d937ae1-5595-44d3-bad2-863c50a2242f"]}],"mendeley":{"formattedCitation":"(Panda &amp; Sethi, 2016)","plainTextFormattedCitation":"(Panda &amp; Sethi, 2016)","previouslyFormattedCitation":"Rajesh Panda and Madhvi Sethi, “Gold as an Investment Option in India: Myth and Reality,” &lt;i&gt;Indian Journal of Finance&lt;/i&gt; 10, no. 5 (2016), https://ssrn.com/abstract=2878636 ."},"properties":{"noteIndex":0},"schema":"https://github.com/citation-style-language/schema/raw/master/csl-citation.json"}</w:instrText>
      </w:r>
      <w:r w:rsidRPr="002C45E7">
        <w:rPr>
          <w:rFonts w:asciiTheme="majorBidi" w:eastAsia="BatangChe" w:hAnsiTheme="majorBidi" w:cstheme="majorBidi"/>
          <w:color w:val="000000"/>
          <w:lang w:eastAsia="ko-KR"/>
        </w:rPr>
        <w:fldChar w:fldCharType="separate"/>
      </w:r>
      <w:r w:rsidRPr="002C45E7">
        <w:rPr>
          <w:rFonts w:asciiTheme="majorBidi" w:eastAsia="BatangChe" w:hAnsiTheme="majorBidi" w:cstheme="majorBidi"/>
          <w:color w:val="000000"/>
          <w:lang w:eastAsia="ko-KR"/>
        </w:rPr>
        <w:t>(Panda &amp; Sethi, 2016)</w:t>
      </w:r>
      <w:r w:rsidRPr="002C45E7">
        <w:rPr>
          <w:rFonts w:asciiTheme="majorBidi" w:eastAsia="BatangChe" w:hAnsiTheme="majorBidi" w:cstheme="majorBidi"/>
          <w:color w:val="000000"/>
          <w:lang w:eastAsia="ko-KR"/>
        </w:rPr>
        <w:fldChar w:fldCharType="end"/>
      </w:r>
      <w:r w:rsidRPr="002C45E7">
        <w:rPr>
          <w:rFonts w:asciiTheme="majorBidi" w:eastAsia="BatangChe" w:hAnsiTheme="majorBidi" w:cstheme="majorBidi"/>
          <w:color w:val="000000"/>
          <w:lang w:eastAsia="ko-KR"/>
        </w:rPr>
        <w:t xml:space="preserve">. Despite successive economic and financial crises, the value of the precious metal has remained high since ancient times. In recent years, currency values have changed due to the foreign exchange market, the price of crude oil, and inflation; similarly, the gold rate has been unstable </w:t>
      </w:r>
      <w:r w:rsidRPr="002C45E7">
        <w:rPr>
          <w:rFonts w:asciiTheme="majorBidi" w:eastAsia="BatangChe" w:hAnsiTheme="majorBidi" w:cstheme="majorBidi"/>
          <w:color w:val="000000"/>
          <w:lang w:eastAsia="ko-KR"/>
        </w:rPr>
        <w:fldChar w:fldCharType="begin" w:fldLock="1"/>
      </w:r>
      <w:r w:rsidRPr="002C45E7">
        <w:rPr>
          <w:rFonts w:asciiTheme="majorBidi" w:eastAsia="BatangChe" w:hAnsiTheme="majorBidi" w:cstheme="majorBidi"/>
          <w:color w:val="000000"/>
          <w:lang w:eastAsia="ko-KR"/>
        </w:rPr>
        <w:instrText>ADDIN CSL_CITATION {"citationItems":[{"id":"ITEM-1","itemData":{"author":[{"dropping-particle":"","family":"S","given":"Kumar Chandar","non-dropping-particle":"","parse-names":false,"suffix":""},{"dropping-particle":"","family":"M","given":"Sumathi","non-dropping-particle":"","parse-names":false,"suffix":""},{"dropping-particle":"","family":"S","given":"N. Sivanadam","non-dropping-particle":"","parse-names":false,"suffix":""}],"container-title":"International Journal of Computers, Communications &amp; Control","id":"ITEM-1","issue":"3","issued":{"date-parts":[["2016"]]},"page":"372","title":"Forecasting Gold Prices Based on Extreme Learning Machine","type":"article-journal","volume":"11"},"uris":["http://www.mendeley.com/documents/?uuid=8055e2fa-9497-4d13-9abf-cc0f48d182bd"]}],"mendeley":{"formattedCitation":"(S et al., 2016)","plainTextFormattedCitation":"(S et al., 2016)","previouslyFormattedCitation":"Kumar Chandar S, Sumathi M, and N. Sivanadam S, “Forecasting Gold Prices Based on Extreme Learning Machine,” &lt;i&gt;International Journal of Computers, Communications &amp; Control&lt;/i&gt; 11, no. 3 (2016): 372."},"properties":{"noteIndex":0},"schema":"https://github.com/citation-style-language/schema/raw/master/csl-citation.json"}</w:instrText>
      </w:r>
      <w:r w:rsidRPr="002C45E7">
        <w:rPr>
          <w:rFonts w:asciiTheme="majorBidi" w:eastAsia="BatangChe" w:hAnsiTheme="majorBidi" w:cstheme="majorBidi"/>
          <w:color w:val="000000"/>
          <w:lang w:eastAsia="ko-KR"/>
        </w:rPr>
        <w:fldChar w:fldCharType="separate"/>
      </w:r>
      <w:r w:rsidRPr="002C45E7">
        <w:rPr>
          <w:rFonts w:asciiTheme="majorBidi" w:eastAsia="BatangChe" w:hAnsiTheme="majorBidi" w:cstheme="majorBidi"/>
          <w:color w:val="000000"/>
          <w:lang w:eastAsia="ko-KR"/>
        </w:rPr>
        <w:t>(S et al., 2016)</w:t>
      </w:r>
      <w:r w:rsidRPr="002C45E7">
        <w:rPr>
          <w:rFonts w:asciiTheme="majorBidi" w:eastAsia="BatangChe" w:hAnsiTheme="majorBidi" w:cstheme="majorBidi"/>
          <w:color w:val="000000"/>
          <w:lang w:eastAsia="ko-KR"/>
        </w:rPr>
        <w:fldChar w:fldCharType="end"/>
      </w:r>
      <w:r w:rsidRPr="002C45E7">
        <w:rPr>
          <w:rFonts w:asciiTheme="majorBidi" w:eastAsia="BatangChe" w:hAnsiTheme="majorBidi" w:cstheme="majorBidi"/>
          <w:color w:val="000000"/>
          <w:lang w:eastAsia="ko-KR"/>
        </w:rPr>
        <w:t>.</w:t>
      </w:r>
    </w:p>
    <w:p w:rsidR="002C45E7" w:rsidRDefault="00C77BA0" w:rsidP="002C45E7">
      <w:pPr>
        <w:spacing w:line="300" w:lineRule="auto"/>
        <w:ind w:firstLine="709"/>
        <w:jc w:val="both"/>
        <w:rPr>
          <w:rFonts w:asciiTheme="majorBidi" w:eastAsia="BatangChe" w:hAnsiTheme="majorBidi" w:cstheme="majorBidi"/>
          <w:color w:val="000000"/>
          <w:lang w:eastAsia="ko-KR"/>
        </w:rPr>
      </w:pPr>
      <w:r w:rsidRPr="002C45E7">
        <w:rPr>
          <w:rFonts w:asciiTheme="majorBidi" w:eastAsia="BatangChe" w:hAnsiTheme="majorBidi" w:cstheme="majorBidi"/>
          <w:color w:val="000000"/>
          <w:lang w:eastAsia="ko-KR"/>
        </w:rPr>
        <w:t xml:space="preserve">By investing in or purchasing it, investors and consumers assume a higher level of risk. Predicting the price of gold in this situation is necessary not only to offer people hope but also to protect their money, as its value fluctuates dramatically. Numerous corporations trade these two units as </w:t>
      </w:r>
      <w:r w:rsidRPr="002C45E7">
        <w:rPr>
          <w:rFonts w:asciiTheme="majorBidi" w:eastAsia="BatangChe" w:hAnsiTheme="majorBidi" w:cstheme="majorBidi"/>
          <w:color w:val="000000"/>
          <w:lang w:eastAsia="ko-KR"/>
        </w:rPr>
        <w:lastRenderedPageBreak/>
        <w:t>stocks, and predicting the stock price is always a challenging problem due to its nontrivial nonlinearity. In order to shield themselves from political, financial, and social disasters, stockholders will dedicate themselves to this endeavor. Investing in gold is beneficent since there is no "crop rotation market fluctuation." In addition to the individual investors of multinational corporations, other individuals also invested in gold reserves.</w:t>
      </w:r>
    </w:p>
    <w:p w:rsidR="00C77BA0" w:rsidRPr="002C45E7" w:rsidRDefault="00C77BA0" w:rsidP="002C45E7">
      <w:pPr>
        <w:spacing w:line="300" w:lineRule="auto"/>
        <w:ind w:firstLine="709"/>
        <w:jc w:val="both"/>
        <w:rPr>
          <w:rFonts w:asciiTheme="majorBidi" w:hAnsiTheme="majorBidi" w:cstheme="majorBidi"/>
          <w:color w:val="000000"/>
        </w:rPr>
      </w:pPr>
      <w:r w:rsidRPr="002C45E7">
        <w:rPr>
          <w:rFonts w:asciiTheme="majorBidi" w:hAnsiTheme="majorBidi" w:cstheme="majorBidi"/>
          <w:color w:val="000000"/>
        </w:rPr>
        <w:t xml:space="preserve">In the meantime, this precious metal has begun to resemble currency to the extent that the government is likely to raise its gold reserve </w:t>
      </w:r>
      <w:r w:rsidRPr="002C45E7">
        <w:rPr>
          <w:rFonts w:asciiTheme="majorBidi" w:hAnsiTheme="majorBidi" w:cstheme="majorBidi"/>
          <w:color w:val="000000"/>
        </w:rPr>
        <w:fldChar w:fldCharType="begin" w:fldLock="1"/>
      </w:r>
      <w:r w:rsidRPr="002C45E7">
        <w:rPr>
          <w:rFonts w:asciiTheme="majorBidi" w:hAnsiTheme="majorBidi" w:cstheme="majorBidi"/>
          <w:color w:val="000000"/>
        </w:rPr>
        <w:instrText>ADDIN CSL_CITATION {"citationItems":[{"id":"ITEM-1","itemData":{"author":[{"dropping-particle":"","family":"K","given":"R Sekar","non-dropping-particle":"","parse-names":false,"suffix":""},{"dropping-particle":"","family":"Manav","given":"Srinivasan","non-dropping-particle":"","parse-names":false,"suffix":""},{"dropping-particle":"","family":"K","given":"S. Ravichandran","non-dropping-particle":"","parse-names":false,"suffix":""},{"dropping-particle":"","family":"J","given":"Sethuram","non-dropping-particle":"","parse-names":false,"suffix":""}],"id":"ITEM-1","issued":{"date-parts":[["2017"]]},"publisher-place":"Thiruvanthapuram","title":"Gold Price Estimation Using A Multi Variable Model","type":"report"},"uris":["http://www.mendeley.com/documents/?uuid=eb11ef39-4a48-467f-967e-d4480d3cbc72"]}],"mendeley":{"formattedCitation":"(K et al., 2017)","plainTextFormattedCitation":"(K et al., 2017)","previouslyFormattedCitation":"R Sekar K et al., “Gold Price Estimation Using A Multi Variable Model” (Thiruvanthapuram, 2017)."},"properties":{"noteIndex":0},"schema":"https://github.com/citation-style-language/schema/raw/master/csl-citation.json"}</w:instrText>
      </w:r>
      <w:r w:rsidRPr="002C45E7">
        <w:rPr>
          <w:rFonts w:asciiTheme="majorBidi" w:hAnsiTheme="majorBidi" w:cstheme="majorBidi"/>
          <w:color w:val="000000"/>
        </w:rPr>
        <w:fldChar w:fldCharType="separate"/>
      </w:r>
      <w:r w:rsidRPr="002C45E7">
        <w:rPr>
          <w:rFonts w:asciiTheme="majorBidi" w:hAnsiTheme="majorBidi" w:cstheme="majorBidi"/>
          <w:color w:val="000000"/>
        </w:rPr>
        <w:t>(K et al., 2017)</w:t>
      </w:r>
      <w:r w:rsidRPr="002C45E7">
        <w:rPr>
          <w:rFonts w:asciiTheme="majorBidi" w:hAnsiTheme="majorBidi" w:cstheme="majorBidi"/>
          <w:color w:val="000000"/>
        </w:rPr>
        <w:fldChar w:fldCharType="end"/>
      </w:r>
      <w:r w:rsidRPr="002C45E7">
        <w:rPr>
          <w:rFonts w:asciiTheme="majorBidi" w:hAnsiTheme="majorBidi" w:cstheme="majorBidi"/>
          <w:color w:val="000000"/>
        </w:rPr>
        <w:t xml:space="preserve">. Most people think that one advantage of gold because of its high liquidity control, it will help in difficult times </w:t>
      </w:r>
      <w:r w:rsidRPr="002C45E7">
        <w:rPr>
          <w:rFonts w:asciiTheme="majorBidi" w:hAnsiTheme="majorBidi" w:cstheme="majorBidi"/>
          <w:color w:val="000000"/>
        </w:rPr>
        <w:fldChar w:fldCharType="begin" w:fldLock="1"/>
      </w:r>
      <w:r w:rsidRPr="002C45E7">
        <w:rPr>
          <w:rFonts w:asciiTheme="majorBidi" w:hAnsiTheme="majorBidi" w:cstheme="majorBidi"/>
          <w:color w:val="000000"/>
        </w:rPr>
        <w:instrText>ADDIN CSL_CITATION {"citationItems":[{"id":"ITEM-1","itemData":{"author":[{"dropping-particle":"","family":"Pinto","given":"Michelle Jenita","non-dropping-particle":"","parse-names":false,"suffix":""}],"container-title":"International Journal of Multi-Disciplinary Research","id":"ITEM-1","issue":"1","issued":{"date-parts":[["2016"]]},"page":"1-8","title":"An Analysis on Commodity Market with Special Reference to Gold","type":"article-journal","volume":"1"},"uris":["http://www.mendeley.com/documents/?uuid=5fdf7dbc-592d-49f3-ba87-7680e568aad8"]}],"mendeley":{"formattedCitation":"(Pinto, 2016)","plainTextFormattedCitation":"(Pinto, 2016)","previouslyFormattedCitation":"Michelle Jenita Pinto, “An Analysis on Commodity Market with Special Reference to Gold,” &lt;i&gt;International Journal of Multi-Disciplinary Research&lt;/i&gt; 1, no. 1 (2016): 1–8."},"properties":{"noteIndex":0},"schema":"https://github.com/citation-style-language/schema/raw/master/csl-citation.json"}</w:instrText>
      </w:r>
      <w:r w:rsidRPr="002C45E7">
        <w:rPr>
          <w:rFonts w:asciiTheme="majorBidi" w:hAnsiTheme="majorBidi" w:cstheme="majorBidi"/>
          <w:color w:val="000000"/>
        </w:rPr>
        <w:fldChar w:fldCharType="separate"/>
      </w:r>
      <w:r w:rsidRPr="002C45E7">
        <w:rPr>
          <w:rFonts w:asciiTheme="majorBidi" w:hAnsiTheme="majorBidi" w:cstheme="majorBidi"/>
          <w:color w:val="000000"/>
        </w:rPr>
        <w:t>(Pinto, 2016)</w:t>
      </w:r>
      <w:r w:rsidRPr="002C45E7">
        <w:rPr>
          <w:rFonts w:asciiTheme="majorBidi" w:hAnsiTheme="majorBidi" w:cstheme="majorBidi"/>
          <w:color w:val="000000"/>
        </w:rPr>
        <w:fldChar w:fldCharType="end"/>
      </w:r>
      <w:r w:rsidRPr="002C45E7">
        <w:rPr>
          <w:rFonts w:asciiTheme="majorBidi" w:hAnsiTheme="majorBidi" w:cstheme="majorBidi"/>
          <w:color w:val="000000"/>
        </w:rPr>
        <w:t>.</w:t>
      </w:r>
    </w:p>
    <w:p w:rsidR="00A01C21" w:rsidRPr="002C45E7" w:rsidRDefault="00A01C21" w:rsidP="002C45E7">
      <w:pPr>
        <w:pStyle w:val="Heading2"/>
        <w:spacing w:before="240" w:after="120"/>
        <w:rPr>
          <w:rFonts w:asciiTheme="majorBidi" w:hAnsiTheme="majorBidi" w:cstheme="majorBidi"/>
          <w:color w:val="000000"/>
        </w:rPr>
      </w:pPr>
      <w:r w:rsidRPr="002C45E7">
        <w:rPr>
          <w:rFonts w:asciiTheme="majorBidi" w:hAnsiTheme="majorBidi" w:cstheme="majorBidi"/>
          <w:color w:val="000000"/>
        </w:rPr>
        <w:t xml:space="preserve">2. </w:t>
      </w:r>
      <w:r w:rsidR="00C77BA0" w:rsidRPr="002C45E7">
        <w:rPr>
          <w:rFonts w:asciiTheme="majorBidi" w:hAnsiTheme="majorBidi" w:cstheme="majorBidi"/>
          <w:color w:val="000000"/>
        </w:rPr>
        <w:t xml:space="preserve">Trend of Gold Price </w:t>
      </w:r>
    </w:p>
    <w:p w:rsidR="00C77BA0" w:rsidRDefault="00C77BA0" w:rsidP="002C45E7">
      <w:pPr>
        <w:spacing w:line="300" w:lineRule="auto"/>
        <w:ind w:firstLine="709"/>
        <w:jc w:val="both"/>
        <w:rPr>
          <w:rFonts w:asciiTheme="majorBidi" w:eastAsia="BatangChe" w:hAnsiTheme="majorBidi" w:cstheme="majorBidi"/>
          <w:color w:val="000000"/>
          <w:lang w:eastAsia="ko-KR"/>
        </w:rPr>
      </w:pPr>
      <w:r w:rsidRPr="002C45E7">
        <w:rPr>
          <w:rFonts w:asciiTheme="majorBidi" w:eastAsia="BatangChe" w:hAnsiTheme="majorBidi" w:cstheme="majorBidi"/>
          <w:color w:val="000000"/>
          <w:lang w:eastAsia="ko-KR"/>
        </w:rPr>
        <w:t xml:space="preserve">Trend of gold price is a subject of prediction and forecasting because it fluctuates continuously. Prices for gold might change from time to time. According to data from the </w:t>
      </w:r>
      <w:proofErr w:type="spellStart"/>
      <w:r w:rsidRPr="002C45E7">
        <w:rPr>
          <w:rFonts w:asciiTheme="majorBidi" w:eastAsia="BatangChe" w:hAnsiTheme="majorBidi" w:cstheme="majorBidi"/>
          <w:color w:val="000000"/>
          <w:lang w:eastAsia="ko-KR"/>
        </w:rPr>
        <w:t>Logam</w:t>
      </w:r>
      <w:proofErr w:type="spellEnd"/>
      <w:r w:rsidRPr="002C45E7">
        <w:rPr>
          <w:rFonts w:asciiTheme="majorBidi" w:eastAsia="BatangChe" w:hAnsiTheme="majorBidi" w:cstheme="majorBidi"/>
          <w:color w:val="000000"/>
          <w:lang w:eastAsia="ko-KR"/>
        </w:rPr>
        <w:t xml:space="preserve"> </w:t>
      </w:r>
      <w:proofErr w:type="spellStart"/>
      <w:r w:rsidRPr="002C45E7">
        <w:rPr>
          <w:rFonts w:asciiTheme="majorBidi" w:eastAsia="BatangChe" w:hAnsiTheme="majorBidi" w:cstheme="majorBidi"/>
          <w:color w:val="000000"/>
          <w:lang w:eastAsia="ko-KR"/>
        </w:rPr>
        <w:t>Mulia</w:t>
      </w:r>
      <w:proofErr w:type="spellEnd"/>
      <w:r w:rsidRPr="002C45E7">
        <w:rPr>
          <w:rFonts w:asciiTheme="majorBidi" w:eastAsia="BatangChe" w:hAnsiTheme="majorBidi" w:cstheme="majorBidi"/>
          <w:color w:val="000000"/>
          <w:lang w:eastAsia="ko-KR"/>
        </w:rPr>
        <w:t xml:space="preserve"> official website, there have been significant fluctuations in the gold price during the past ten years. The fluctuation trend of gold price in Indonesia is shown in Figure 1 </w:t>
      </w:r>
      <w:r w:rsidRPr="002C45E7">
        <w:rPr>
          <w:rFonts w:asciiTheme="majorBidi" w:eastAsia="BatangChe" w:hAnsiTheme="majorBidi" w:cstheme="majorBidi"/>
          <w:color w:val="000000"/>
          <w:lang w:eastAsia="ko-KR"/>
        </w:rPr>
        <w:fldChar w:fldCharType="begin" w:fldLock="1"/>
      </w:r>
      <w:r w:rsidRPr="002C45E7">
        <w:rPr>
          <w:rFonts w:asciiTheme="majorBidi" w:eastAsia="BatangChe" w:hAnsiTheme="majorBidi" w:cstheme="majorBidi"/>
          <w:color w:val="000000"/>
          <w:lang w:eastAsia="ko-KR"/>
        </w:rPr>
        <w:instrText>ADDIN CSL_CITATION {"citationItems":[{"id":"ITEM-1","itemData":{"URL":"https://www.logammulia.com/id/harga-emas-hari-ini","id":"ITEM-1","issued":{"date-parts":[["0"]]},"title":"Harga Emas","type":"webpage"},"uris":["http://www.mendeley.com/documents/?uuid=ec943867-94fb-49d1-be79-24c0766635c5"]}],"mendeley":{"formattedCitation":"(&lt;i&gt;Harga Emas&lt;/i&gt;, n.d.)","plainTextFormattedCitation":"(Harga Emas, n.d.)","previouslyFormattedCitation":"“Harga Emas,” n.d., https://www.logammulia.com/id/harga-emas-hari-ini."},"properties":{"noteIndex":0},"schema":"https://github.com/citation-style-language/schema/raw/master/csl-citation.json"}</w:instrText>
      </w:r>
      <w:r w:rsidRPr="002C45E7">
        <w:rPr>
          <w:rFonts w:asciiTheme="majorBidi" w:eastAsia="BatangChe" w:hAnsiTheme="majorBidi" w:cstheme="majorBidi"/>
          <w:color w:val="000000"/>
          <w:lang w:eastAsia="ko-KR"/>
        </w:rPr>
        <w:fldChar w:fldCharType="separate"/>
      </w:r>
      <w:r w:rsidRPr="002C45E7">
        <w:rPr>
          <w:rFonts w:asciiTheme="majorBidi" w:eastAsia="BatangChe" w:hAnsiTheme="majorBidi" w:cstheme="majorBidi"/>
          <w:color w:val="000000"/>
          <w:lang w:eastAsia="ko-KR"/>
        </w:rPr>
        <w:t>(Harga Emas, n.d.)</w:t>
      </w:r>
      <w:r w:rsidRPr="002C45E7">
        <w:rPr>
          <w:rFonts w:asciiTheme="majorBidi" w:eastAsia="BatangChe" w:hAnsiTheme="majorBidi" w:cstheme="majorBidi"/>
          <w:color w:val="000000"/>
          <w:lang w:eastAsia="ko-KR"/>
        </w:rPr>
        <w:fldChar w:fldCharType="end"/>
      </w:r>
      <w:r w:rsidRPr="002C45E7">
        <w:rPr>
          <w:rFonts w:asciiTheme="majorBidi" w:eastAsia="BatangChe" w:hAnsiTheme="majorBidi" w:cstheme="majorBidi"/>
          <w:color w:val="000000"/>
          <w:lang w:eastAsia="ko-KR"/>
        </w:rPr>
        <w:t>.</w:t>
      </w:r>
    </w:p>
    <w:p w:rsidR="002C45E7" w:rsidRPr="002C45E7" w:rsidRDefault="002C45E7" w:rsidP="002C45E7">
      <w:pPr>
        <w:spacing w:line="300" w:lineRule="auto"/>
        <w:jc w:val="center"/>
        <w:rPr>
          <w:rFonts w:asciiTheme="majorBidi" w:eastAsia="BatangChe" w:hAnsiTheme="majorBidi" w:cstheme="majorBidi"/>
          <w:b/>
          <w:bCs/>
          <w:color w:val="000000"/>
          <w:lang w:eastAsia="ko-KR"/>
        </w:rPr>
      </w:pPr>
      <w:proofErr w:type="gramStart"/>
      <w:r w:rsidRPr="002C45E7">
        <w:rPr>
          <w:rFonts w:asciiTheme="majorBidi" w:eastAsia="BatangChe" w:hAnsiTheme="majorBidi" w:cstheme="majorBidi"/>
          <w:b/>
          <w:bCs/>
          <w:color w:val="000000"/>
          <w:lang w:eastAsia="ko-KR"/>
        </w:rPr>
        <w:t>Figure 1.</w:t>
      </w:r>
      <w:proofErr w:type="gramEnd"/>
    </w:p>
    <w:p w:rsidR="002C45E7" w:rsidRPr="002C45E7" w:rsidRDefault="002C45E7" w:rsidP="002C45E7">
      <w:pPr>
        <w:spacing w:line="300" w:lineRule="auto"/>
        <w:jc w:val="center"/>
        <w:rPr>
          <w:rFonts w:asciiTheme="majorBidi" w:hAnsiTheme="majorBidi" w:cstheme="majorBidi"/>
        </w:rPr>
      </w:pPr>
      <w:r w:rsidRPr="002C45E7">
        <w:rPr>
          <w:rFonts w:asciiTheme="majorBidi" w:eastAsia="BatangChe" w:hAnsiTheme="majorBidi" w:cstheme="majorBidi"/>
          <w:color w:val="000000"/>
          <w:lang w:eastAsia="ko-KR"/>
        </w:rPr>
        <w:t>Fluctuation Trend of Gold Price</w:t>
      </w:r>
    </w:p>
    <w:p w:rsidR="00C77BA0" w:rsidRPr="00342F5C" w:rsidRDefault="00BE3458" w:rsidP="00C77BA0">
      <w:pPr>
        <w:spacing w:line="300" w:lineRule="auto"/>
        <w:jc w:val="center"/>
      </w:pPr>
      <w:r>
        <w:rPr>
          <w:noProof/>
        </w:rPr>
        <w:drawing>
          <wp:inline distT="0" distB="0" distL="0" distR="0">
            <wp:extent cx="4587676" cy="2098641"/>
            <wp:effectExtent l="19050" t="19050" r="2286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5971"/>
                    <a:stretch>
                      <a:fillRect/>
                    </a:stretch>
                  </pic:blipFill>
                  <pic:spPr bwMode="auto">
                    <a:xfrm>
                      <a:off x="0" y="0"/>
                      <a:ext cx="4597261" cy="2103026"/>
                    </a:xfrm>
                    <a:prstGeom prst="rect">
                      <a:avLst/>
                    </a:prstGeom>
                    <a:noFill/>
                    <a:ln w="9525" cmpd="sng">
                      <a:solidFill>
                        <a:srgbClr val="7F7F7F"/>
                      </a:solidFill>
                      <a:miter lim="800000"/>
                      <a:headEnd/>
                      <a:tailEnd/>
                    </a:ln>
                    <a:effectLst/>
                  </pic:spPr>
                </pic:pic>
              </a:graphicData>
            </a:graphic>
          </wp:inline>
        </w:drawing>
      </w:r>
    </w:p>
    <w:p w:rsidR="00C77BA0" w:rsidRPr="002C45E7" w:rsidRDefault="00C77BA0" w:rsidP="002C45E7">
      <w:pPr>
        <w:spacing w:before="120" w:line="300" w:lineRule="auto"/>
        <w:jc w:val="center"/>
        <w:rPr>
          <w:rFonts w:asciiTheme="majorBidi" w:hAnsiTheme="majorBidi" w:cstheme="majorBidi"/>
        </w:rPr>
      </w:pPr>
      <w:r w:rsidRPr="002C45E7">
        <w:rPr>
          <w:rFonts w:asciiTheme="majorBidi" w:eastAsia="BatangChe" w:hAnsiTheme="majorBidi" w:cstheme="majorBidi"/>
          <w:color w:val="000000"/>
          <w:lang w:eastAsia="ko-KR"/>
        </w:rPr>
        <w:t xml:space="preserve">Source: </w:t>
      </w:r>
      <w:proofErr w:type="spellStart"/>
      <w:r w:rsidRPr="002C45E7">
        <w:rPr>
          <w:rFonts w:asciiTheme="majorBidi" w:eastAsia="BatangChe" w:hAnsiTheme="majorBidi" w:cstheme="majorBidi"/>
          <w:color w:val="000000"/>
          <w:lang w:eastAsia="ko-KR"/>
        </w:rPr>
        <w:t>Logam</w:t>
      </w:r>
      <w:proofErr w:type="spellEnd"/>
      <w:r w:rsidRPr="002C45E7">
        <w:rPr>
          <w:rFonts w:asciiTheme="majorBidi" w:eastAsia="BatangChe" w:hAnsiTheme="majorBidi" w:cstheme="majorBidi"/>
          <w:color w:val="000000"/>
          <w:lang w:eastAsia="ko-KR"/>
        </w:rPr>
        <w:t xml:space="preserve"> </w:t>
      </w:r>
      <w:proofErr w:type="spellStart"/>
      <w:r w:rsidRPr="002C45E7">
        <w:rPr>
          <w:rFonts w:asciiTheme="majorBidi" w:eastAsia="BatangChe" w:hAnsiTheme="majorBidi" w:cstheme="majorBidi"/>
          <w:color w:val="000000"/>
          <w:lang w:eastAsia="ko-KR"/>
        </w:rPr>
        <w:t>Mulia</w:t>
      </w:r>
      <w:proofErr w:type="spellEnd"/>
      <w:r w:rsidRPr="002C45E7">
        <w:rPr>
          <w:rFonts w:asciiTheme="majorBidi" w:eastAsia="BatangChe" w:hAnsiTheme="majorBidi" w:cstheme="majorBidi"/>
          <w:color w:val="000000"/>
          <w:lang w:eastAsia="ko-KR"/>
        </w:rPr>
        <w:t xml:space="preserve"> (accessed on January 2023)</w:t>
      </w:r>
    </w:p>
    <w:p w:rsidR="00C77BA0" w:rsidRPr="002C45E7" w:rsidRDefault="00C77BA0" w:rsidP="00C77BA0">
      <w:pPr>
        <w:spacing w:line="300" w:lineRule="auto"/>
        <w:jc w:val="center"/>
        <w:rPr>
          <w:rFonts w:asciiTheme="majorBidi" w:hAnsiTheme="majorBidi" w:cstheme="majorBidi"/>
        </w:rPr>
      </w:pPr>
    </w:p>
    <w:p w:rsidR="00C77BA0" w:rsidRDefault="00C77BA0" w:rsidP="002C45E7">
      <w:pPr>
        <w:spacing w:line="300" w:lineRule="auto"/>
        <w:ind w:firstLine="709"/>
        <w:jc w:val="both"/>
        <w:rPr>
          <w:rFonts w:asciiTheme="majorBidi" w:eastAsia="BatangChe" w:hAnsiTheme="majorBidi" w:cstheme="majorBidi"/>
          <w:color w:val="000000"/>
          <w:lang w:eastAsia="ko-KR"/>
        </w:rPr>
      </w:pPr>
      <w:r w:rsidRPr="002C45E7">
        <w:rPr>
          <w:rFonts w:asciiTheme="majorBidi" w:eastAsia="BatangChe" w:hAnsiTheme="majorBidi" w:cstheme="majorBidi"/>
          <w:color w:val="000000"/>
          <w:lang w:eastAsia="ko-KR"/>
        </w:rPr>
        <w:t xml:space="preserve">Despite the global COVID-19 pandemic, the price of gold has tended to rise over the past three years. According to previous research, the value of </w:t>
      </w:r>
      <w:r w:rsidRPr="002C45E7">
        <w:rPr>
          <w:rFonts w:asciiTheme="majorBidi" w:eastAsia="BatangChe" w:hAnsiTheme="majorBidi" w:cstheme="majorBidi"/>
          <w:color w:val="000000"/>
          <w:lang w:eastAsia="ko-KR"/>
        </w:rPr>
        <w:lastRenderedPageBreak/>
        <w:t xml:space="preserve">stocks, the price of oil, the rate of inflation, and currency exchange rates all have an impact on gold prices </w:t>
      </w:r>
      <w:r w:rsidRPr="002C45E7">
        <w:rPr>
          <w:rFonts w:asciiTheme="majorBidi" w:eastAsia="BatangChe" w:hAnsiTheme="majorBidi" w:cstheme="majorBidi"/>
          <w:color w:val="000000"/>
          <w:lang w:eastAsia="ko-KR"/>
        </w:rPr>
        <w:fldChar w:fldCharType="begin" w:fldLock="1"/>
      </w:r>
      <w:r w:rsidRPr="002C45E7">
        <w:rPr>
          <w:rFonts w:asciiTheme="majorBidi" w:eastAsia="BatangChe" w:hAnsiTheme="majorBidi" w:cstheme="majorBidi"/>
          <w:color w:val="000000"/>
          <w:lang w:eastAsia="ko-KR"/>
        </w:rPr>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inequality.","author":[{"dropping-particle":"","family":"Syukuri Nur","given":"Muhammad","non-dropping-particle":"","parse-names":false,"suffix":""}],"container-title":"Tinjauan Pustaka Sistematis","id":"ITEM-1","issue":"June","issued":{"date-parts":[["2020"]]},"page":"ix","title":"Tinjauan Pustaka Sistematis","type":"article-journal","volume":"26861089"},"uris":["http://www.mendeley.com/documents/?uuid=0af0012e-92bc-4dd3-a0b8-26706042f930"]}],"mendeley":{"formattedCitation":"(Syukuri Nur, 2020)","plainTextFormattedCitation":"(Syukuri Nur, 2020)","previouslyFormattedCitation":"Muhammad Syukuri Nur, “Tinjauan Pustaka Sistematis,” &lt;i&gt;Tinjauan Pustaka Sistematis&lt;/i&gt; 26861089, no. June (2020): ix."},"properties":{"noteIndex":0},"schema":"https://github.com/citation-style-language/schema/raw/master/csl-citation.json"}</w:instrText>
      </w:r>
      <w:r w:rsidRPr="002C45E7">
        <w:rPr>
          <w:rFonts w:asciiTheme="majorBidi" w:eastAsia="BatangChe" w:hAnsiTheme="majorBidi" w:cstheme="majorBidi"/>
          <w:color w:val="000000"/>
          <w:lang w:eastAsia="ko-KR"/>
        </w:rPr>
        <w:fldChar w:fldCharType="separate"/>
      </w:r>
      <w:r w:rsidRPr="002C45E7">
        <w:rPr>
          <w:rFonts w:asciiTheme="majorBidi" w:eastAsia="BatangChe" w:hAnsiTheme="majorBidi" w:cstheme="majorBidi"/>
          <w:color w:val="000000"/>
          <w:lang w:eastAsia="ko-KR"/>
        </w:rPr>
        <w:t>(Syukuri Nur, 2020)</w:t>
      </w:r>
      <w:r w:rsidRPr="002C45E7">
        <w:rPr>
          <w:rFonts w:asciiTheme="majorBidi" w:eastAsia="BatangChe" w:hAnsiTheme="majorBidi" w:cstheme="majorBidi"/>
          <w:color w:val="000000"/>
          <w:lang w:eastAsia="ko-KR"/>
        </w:rPr>
        <w:fldChar w:fldCharType="end"/>
      </w:r>
      <w:r w:rsidRPr="002C45E7">
        <w:rPr>
          <w:rFonts w:asciiTheme="majorBidi" w:eastAsia="BatangChe" w:hAnsiTheme="majorBidi" w:cstheme="majorBidi"/>
          <w:color w:val="000000"/>
          <w:lang w:eastAsia="ko-KR"/>
        </w:rPr>
        <w:t xml:space="preserve">. Gold price during pandemic is shown in Figure 2 </w:t>
      </w:r>
      <w:r w:rsidRPr="002C45E7">
        <w:rPr>
          <w:rFonts w:asciiTheme="majorBidi" w:eastAsia="BatangChe" w:hAnsiTheme="majorBidi" w:cstheme="majorBidi"/>
          <w:color w:val="000000"/>
          <w:lang w:eastAsia="ko-KR"/>
        </w:rPr>
        <w:fldChar w:fldCharType="begin" w:fldLock="1"/>
      </w:r>
      <w:r w:rsidRPr="002C45E7">
        <w:rPr>
          <w:rFonts w:asciiTheme="majorBidi" w:eastAsia="BatangChe" w:hAnsiTheme="majorBidi" w:cstheme="majorBidi"/>
          <w:color w:val="000000"/>
          <w:lang w:eastAsia="ko-KR"/>
        </w:rPr>
        <w:instrText>ADDIN CSL_CITATION {"citationItems":[{"id":"ITEM-1","itemData":{"URL":"https://www.logammulia.com/id/harga-emas-hari-ini","id":"ITEM-1","issued":{"date-parts":[["0"]]},"title":"Harga Emas","type":"webpage"},"uris":["http://www.mendeley.com/documents/?uuid=ec943867-94fb-49d1-be79-24c0766635c5"]}],"mendeley":{"formattedCitation":"(&lt;i&gt;Harga Emas&lt;/i&gt;, n.d.)","plainTextFormattedCitation":"(Harga Emas, n.d.)","previouslyFormattedCitation":"“Harga Emas.”"},"properties":{"noteIndex":0},"schema":"https://github.com/citation-style-language/schema/raw/master/csl-citation.json"}</w:instrText>
      </w:r>
      <w:r w:rsidRPr="002C45E7">
        <w:rPr>
          <w:rFonts w:asciiTheme="majorBidi" w:eastAsia="BatangChe" w:hAnsiTheme="majorBidi" w:cstheme="majorBidi"/>
          <w:color w:val="000000"/>
          <w:lang w:eastAsia="ko-KR"/>
        </w:rPr>
        <w:fldChar w:fldCharType="separate"/>
      </w:r>
      <w:r w:rsidRPr="002C45E7">
        <w:rPr>
          <w:rFonts w:asciiTheme="majorBidi" w:eastAsia="BatangChe" w:hAnsiTheme="majorBidi" w:cstheme="majorBidi"/>
          <w:color w:val="000000"/>
          <w:lang w:eastAsia="ko-KR"/>
        </w:rPr>
        <w:t>(Harga Emas, n.d.)</w:t>
      </w:r>
      <w:r w:rsidRPr="002C45E7">
        <w:rPr>
          <w:rFonts w:asciiTheme="majorBidi" w:eastAsia="BatangChe" w:hAnsiTheme="majorBidi" w:cstheme="majorBidi"/>
          <w:color w:val="000000"/>
          <w:lang w:eastAsia="ko-KR"/>
        </w:rPr>
        <w:fldChar w:fldCharType="end"/>
      </w:r>
      <w:r w:rsidRPr="002C45E7">
        <w:rPr>
          <w:rFonts w:asciiTheme="majorBidi" w:eastAsia="BatangChe" w:hAnsiTheme="majorBidi" w:cstheme="majorBidi"/>
          <w:color w:val="000000"/>
          <w:lang w:eastAsia="ko-KR"/>
        </w:rPr>
        <w:t>.</w:t>
      </w:r>
    </w:p>
    <w:p w:rsidR="002C45E7" w:rsidRPr="002C45E7" w:rsidRDefault="002C45E7" w:rsidP="002C45E7">
      <w:pPr>
        <w:spacing w:before="120" w:line="300" w:lineRule="auto"/>
        <w:jc w:val="center"/>
        <w:rPr>
          <w:rFonts w:asciiTheme="majorBidi" w:eastAsia="BatangChe" w:hAnsiTheme="majorBidi" w:cstheme="majorBidi"/>
          <w:b/>
          <w:bCs/>
          <w:color w:val="000000"/>
          <w:lang w:eastAsia="ko-KR"/>
        </w:rPr>
      </w:pPr>
      <w:proofErr w:type="gramStart"/>
      <w:r w:rsidRPr="002C45E7">
        <w:rPr>
          <w:rFonts w:asciiTheme="majorBidi" w:eastAsia="BatangChe" w:hAnsiTheme="majorBidi" w:cstheme="majorBidi"/>
          <w:b/>
          <w:bCs/>
          <w:color w:val="000000"/>
          <w:lang w:eastAsia="ko-KR"/>
        </w:rPr>
        <w:t>Figure 2.</w:t>
      </w:r>
      <w:proofErr w:type="gramEnd"/>
    </w:p>
    <w:p w:rsidR="002C45E7" w:rsidRPr="002C45E7" w:rsidRDefault="002C45E7" w:rsidP="002C45E7">
      <w:pPr>
        <w:spacing w:line="300" w:lineRule="auto"/>
        <w:jc w:val="center"/>
        <w:rPr>
          <w:rFonts w:asciiTheme="majorBidi" w:hAnsiTheme="majorBidi" w:cstheme="majorBidi"/>
        </w:rPr>
      </w:pPr>
      <w:r w:rsidRPr="002C45E7">
        <w:rPr>
          <w:rFonts w:asciiTheme="majorBidi" w:eastAsia="BatangChe" w:hAnsiTheme="majorBidi" w:cstheme="majorBidi"/>
          <w:color w:val="000000"/>
          <w:lang w:eastAsia="ko-KR"/>
        </w:rPr>
        <w:t>Trend of Gold Price during Pandemic</w:t>
      </w:r>
    </w:p>
    <w:p w:rsidR="00C77BA0" w:rsidRPr="00342F5C" w:rsidRDefault="00BE3458" w:rsidP="002C45E7">
      <w:pPr>
        <w:spacing w:line="300" w:lineRule="auto"/>
        <w:jc w:val="center"/>
      </w:pPr>
      <w:r>
        <w:rPr>
          <w:noProof/>
        </w:rPr>
        <w:drawing>
          <wp:inline distT="0" distB="0" distL="0" distR="0">
            <wp:extent cx="4613801" cy="2043770"/>
            <wp:effectExtent l="19050" t="19050" r="1587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b="4843"/>
                    <a:stretch>
                      <a:fillRect/>
                    </a:stretch>
                  </pic:blipFill>
                  <pic:spPr bwMode="auto">
                    <a:xfrm>
                      <a:off x="0" y="0"/>
                      <a:ext cx="4619239" cy="2046179"/>
                    </a:xfrm>
                    <a:prstGeom prst="rect">
                      <a:avLst/>
                    </a:prstGeom>
                    <a:noFill/>
                    <a:ln w="9525" cmpd="sng">
                      <a:solidFill>
                        <a:srgbClr val="7F7F7F"/>
                      </a:solidFill>
                      <a:miter lim="800000"/>
                      <a:headEnd/>
                      <a:tailEnd/>
                    </a:ln>
                    <a:effectLst/>
                  </pic:spPr>
                </pic:pic>
              </a:graphicData>
            </a:graphic>
          </wp:inline>
        </w:drawing>
      </w:r>
    </w:p>
    <w:p w:rsidR="00C77BA0" w:rsidRPr="00C77BA0" w:rsidRDefault="00C77BA0" w:rsidP="002C45E7">
      <w:pPr>
        <w:spacing w:before="120" w:line="300" w:lineRule="auto"/>
        <w:jc w:val="center"/>
        <w:rPr>
          <w:rFonts w:ascii="Garamond" w:eastAsia="BatangChe" w:hAnsi="Garamond"/>
          <w:color w:val="000000"/>
          <w:lang w:eastAsia="ko-KR"/>
        </w:rPr>
      </w:pPr>
      <w:r w:rsidRPr="00C77BA0">
        <w:rPr>
          <w:rFonts w:ascii="Garamond" w:eastAsia="BatangChe" w:hAnsi="Garamond"/>
          <w:color w:val="000000"/>
          <w:lang w:eastAsia="ko-KR"/>
        </w:rPr>
        <w:t xml:space="preserve">Source: </w:t>
      </w:r>
      <w:proofErr w:type="spellStart"/>
      <w:r w:rsidRPr="00C77BA0">
        <w:rPr>
          <w:rFonts w:ascii="Garamond" w:eastAsia="BatangChe" w:hAnsi="Garamond"/>
          <w:color w:val="000000"/>
          <w:lang w:eastAsia="ko-KR"/>
        </w:rPr>
        <w:t>Logam</w:t>
      </w:r>
      <w:proofErr w:type="spellEnd"/>
      <w:r w:rsidRPr="00C77BA0">
        <w:rPr>
          <w:rFonts w:ascii="Garamond" w:eastAsia="BatangChe" w:hAnsi="Garamond"/>
          <w:color w:val="000000"/>
          <w:lang w:eastAsia="ko-KR"/>
        </w:rPr>
        <w:t xml:space="preserve"> </w:t>
      </w:r>
      <w:proofErr w:type="spellStart"/>
      <w:r w:rsidRPr="00C77BA0">
        <w:rPr>
          <w:rFonts w:ascii="Garamond" w:eastAsia="BatangChe" w:hAnsi="Garamond"/>
          <w:color w:val="000000"/>
          <w:lang w:eastAsia="ko-KR"/>
        </w:rPr>
        <w:t>Mulia</w:t>
      </w:r>
      <w:proofErr w:type="spellEnd"/>
      <w:r w:rsidRPr="00C77BA0">
        <w:rPr>
          <w:rFonts w:ascii="Garamond" w:eastAsia="BatangChe" w:hAnsi="Garamond"/>
          <w:color w:val="000000"/>
          <w:lang w:eastAsia="ko-KR"/>
        </w:rPr>
        <w:t xml:space="preserve"> (accessed on January 2023)</w:t>
      </w:r>
    </w:p>
    <w:p w:rsidR="00C77BA0" w:rsidRPr="002C45E7" w:rsidRDefault="00C77BA0" w:rsidP="002C45E7">
      <w:pPr>
        <w:pStyle w:val="Body"/>
        <w:spacing w:before="120"/>
        <w:ind w:firstLine="709"/>
        <w:rPr>
          <w:rFonts w:asciiTheme="majorBidi" w:hAnsiTheme="majorBidi" w:cstheme="majorBidi"/>
          <w:color w:val="000000"/>
          <w:szCs w:val="24"/>
        </w:rPr>
      </w:pPr>
      <w:r w:rsidRPr="002C45E7">
        <w:rPr>
          <w:rFonts w:asciiTheme="majorBidi" w:hAnsiTheme="majorBidi" w:cstheme="majorBidi"/>
          <w:color w:val="000000"/>
          <w:szCs w:val="24"/>
        </w:rPr>
        <w:t xml:space="preserve">Figure 2 not only displays a fluctuating graph, but also a significant increase of gold prices before, during, and after the COVID-19 pandemic. It means gold investment is very profitable. It is related to previous research that mentioned gold performed relatively better than many other assets in the early pandemic stages </w:t>
      </w:r>
      <w:r w:rsidRPr="002C45E7">
        <w:rPr>
          <w:rFonts w:asciiTheme="majorBidi" w:hAnsiTheme="majorBidi" w:cstheme="majorBidi"/>
          <w:color w:val="000000"/>
          <w:szCs w:val="24"/>
        </w:rPr>
        <w:fldChar w:fldCharType="begin" w:fldLock="1"/>
      </w:r>
      <w:r w:rsidRPr="002C45E7">
        <w:rPr>
          <w:rFonts w:asciiTheme="majorBidi" w:hAnsiTheme="majorBidi" w:cstheme="majorBidi"/>
          <w:color w:val="000000"/>
          <w:szCs w:val="24"/>
        </w:rPr>
        <w:instrText>ADDIN CSL_CITATION {"citationItems":[{"id":"ITEM-1","itemData":{"DOI":"10.1016/j.econmod.2021.105588","ISSN":"02649993","abstract":"This study examines the role of gold as a hedge or safe-haven asset in different phases of the COVID-19 pandemic crisis, corresponding to the timing of fiscal and monetary stimuli to support the weakened economy. Using high-frequency data, the results show that gold served as a safe-haven asset for stock markets during Phase I (December 31, 2019–March 16, 2020) of the pandemic. However, gold lost its safe-haven role during Phase II (March 17−April 24, 2020). The optimal weights of gold in S&amp;P 500, Euro Stoxx 50, Nikkei 225, and WTI crude oil portfolios significantly increased during Phase II, suggesting that investors expanded investment in gold as a ‘flight-to-safety asset’ during the crisis. Further, hedging costs increased significantly during Phase II. These findings provide insight for individual and institutional investors and guidance to policymakers, regulators, and media on how gold evolved as a hedge and safe-haven asset in different phases of the pandemic.","author":[{"dropping-particle":"","family":"Akhtaruzzaman","given":"Md","non-dropping-particle":"","parse-names":false,"suffix":""},{"dropping-particle":"","family":"Boubaker","given":"Sabri","non-dropping-particle":"","parse-names":false,"suffix":""},{"dropping-particle":"","family":"Lucey","given":"Brian M.","non-dropping-particle":"","parse-names":false,"suffix":""},{"dropping-particle":"","family":"Sensoy","given":"Ahmet","non-dropping-particle":"","parse-names":false,"suffix":""}],"container-title":"Economic Modelling","id":"ITEM-1","issue":"June","issued":{"date-parts":[["2021"]]},"page":"105588","publisher":"Elsevier Ltd","title":"Is gold a hedge or a safe-haven asset in the COVID–19 crisis?","type":"article-journal","volume":"102"},"uris":["http://www.mendeley.com/documents/?uuid=1baa0df0-7a11-4e6e-a835-4ed6c07698b0"]}],"mendeley":{"formattedCitation":"(Akhtaruzzaman et al., 2021)","plainTextFormattedCitation":"(Akhtaruzzaman et al., 2021)","previouslyFormattedCitation":"Md Akhtaruzzaman et al., “Is Gold a Hedge or a Safe-Haven Asset in the COVID–19 Crisis?,” &lt;i&gt;Economic Modelling&lt;/i&gt; 102, no. June (2021): 105588, https://doi.org/10.1016/j.econmod.2021.105588."},"properties":{"noteIndex":0},"schema":"https://github.com/citation-style-language/schema/raw/master/csl-citation.json"}</w:instrText>
      </w:r>
      <w:r w:rsidRPr="002C45E7">
        <w:rPr>
          <w:rFonts w:asciiTheme="majorBidi" w:hAnsiTheme="majorBidi" w:cstheme="majorBidi"/>
          <w:color w:val="000000"/>
          <w:szCs w:val="24"/>
        </w:rPr>
        <w:fldChar w:fldCharType="separate"/>
      </w:r>
      <w:r w:rsidRPr="002C45E7">
        <w:rPr>
          <w:rFonts w:asciiTheme="majorBidi" w:hAnsiTheme="majorBidi" w:cstheme="majorBidi"/>
          <w:color w:val="000000"/>
          <w:szCs w:val="24"/>
        </w:rPr>
        <w:t>(Akhtaruzzaman et al., 2021)</w:t>
      </w:r>
      <w:r w:rsidRPr="002C45E7">
        <w:rPr>
          <w:rFonts w:asciiTheme="majorBidi" w:hAnsiTheme="majorBidi" w:cstheme="majorBidi"/>
          <w:color w:val="000000"/>
          <w:szCs w:val="24"/>
        </w:rPr>
        <w:fldChar w:fldCharType="end"/>
      </w:r>
      <w:r w:rsidRPr="002C45E7">
        <w:rPr>
          <w:rFonts w:asciiTheme="majorBidi" w:hAnsiTheme="majorBidi" w:cstheme="majorBidi"/>
          <w:color w:val="000000"/>
          <w:szCs w:val="24"/>
        </w:rPr>
        <w:t>.</w:t>
      </w:r>
    </w:p>
    <w:p w:rsidR="00A01C21" w:rsidRPr="00694646" w:rsidRDefault="00A01C21" w:rsidP="002C45E7">
      <w:pPr>
        <w:pStyle w:val="Heading2"/>
        <w:spacing w:before="240" w:after="120"/>
        <w:rPr>
          <w:rFonts w:ascii="Garamond" w:hAnsi="Garamond"/>
          <w:color w:val="000000"/>
        </w:rPr>
      </w:pPr>
      <w:r w:rsidRPr="00694646">
        <w:rPr>
          <w:rFonts w:ascii="Garamond" w:hAnsi="Garamond"/>
          <w:color w:val="000000"/>
        </w:rPr>
        <w:t xml:space="preserve">3. </w:t>
      </w:r>
      <w:r w:rsidR="00C77BA0" w:rsidRPr="00C77BA0">
        <w:rPr>
          <w:rFonts w:ascii="Garamond" w:hAnsi="Garamond"/>
          <w:color w:val="000000"/>
        </w:rPr>
        <w:t>Digital Gold on Islamic Economic Perspective</w:t>
      </w:r>
      <w:r w:rsidR="00C77BA0" w:rsidRPr="00694646">
        <w:rPr>
          <w:rFonts w:ascii="Garamond" w:hAnsi="Garamond"/>
          <w:color w:val="000000"/>
        </w:rPr>
        <w:t xml:space="preserve"> </w:t>
      </w:r>
    </w:p>
    <w:p w:rsidR="00A01C21" w:rsidRPr="002C45E7" w:rsidRDefault="00C77BA0" w:rsidP="002C45E7">
      <w:pPr>
        <w:pStyle w:val="Body"/>
        <w:spacing w:before="120"/>
        <w:ind w:firstLine="709"/>
        <w:rPr>
          <w:rFonts w:asciiTheme="majorBidi" w:hAnsiTheme="majorBidi" w:cstheme="majorBidi"/>
          <w:color w:val="000000"/>
          <w:szCs w:val="24"/>
        </w:rPr>
      </w:pPr>
      <w:r w:rsidRPr="002C45E7">
        <w:rPr>
          <w:rFonts w:asciiTheme="majorBidi" w:hAnsiTheme="majorBidi" w:cstheme="majorBidi"/>
          <w:color w:val="000000"/>
          <w:szCs w:val="24"/>
        </w:rPr>
        <w:t xml:space="preserve">Study which was conducted by Arafat and </w:t>
      </w:r>
      <w:proofErr w:type="spellStart"/>
      <w:r w:rsidRPr="002C45E7">
        <w:rPr>
          <w:rFonts w:asciiTheme="majorBidi" w:hAnsiTheme="majorBidi" w:cstheme="majorBidi"/>
          <w:color w:val="000000"/>
          <w:szCs w:val="24"/>
        </w:rPr>
        <w:t>Krismono</w:t>
      </w:r>
      <w:proofErr w:type="spellEnd"/>
      <w:r w:rsidRPr="002C45E7">
        <w:rPr>
          <w:rFonts w:asciiTheme="majorBidi" w:hAnsiTheme="majorBidi" w:cstheme="majorBidi"/>
          <w:color w:val="000000"/>
          <w:szCs w:val="24"/>
        </w:rPr>
        <w:t xml:space="preserve"> (2022) shown that there are 2 argument or opinion related to digital gold investment, the first is digital gold investment is forbidden because the payment by credit not cash. Four </w:t>
      </w:r>
      <w:proofErr w:type="spellStart"/>
      <w:r w:rsidRPr="002C45E7">
        <w:rPr>
          <w:rFonts w:asciiTheme="majorBidi" w:hAnsiTheme="majorBidi" w:cstheme="majorBidi"/>
          <w:i/>
          <w:iCs/>
          <w:color w:val="000000"/>
          <w:szCs w:val="24"/>
        </w:rPr>
        <w:t>madzhabs</w:t>
      </w:r>
      <w:proofErr w:type="spellEnd"/>
      <w:r w:rsidRPr="002C45E7">
        <w:rPr>
          <w:rFonts w:asciiTheme="majorBidi" w:hAnsiTheme="majorBidi" w:cstheme="majorBidi"/>
          <w:i/>
          <w:iCs/>
          <w:color w:val="000000"/>
          <w:szCs w:val="24"/>
        </w:rPr>
        <w:t>'</w:t>
      </w:r>
      <w:r w:rsidRPr="002C45E7">
        <w:rPr>
          <w:rFonts w:asciiTheme="majorBidi" w:hAnsiTheme="majorBidi" w:cstheme="majorBidi"/>
          <w:color w:val="000000"/>
          <w:szCs w:val="24"/>
        </w:rPr>
        <w:t xml:space="preserve"> opinion is transaction must be </w:t>
      </w:r>
      <w:proofErr w:type="gramStart"/>
      <w:r w:rsidRPr="002C45E7">
        <w:rPr>
          <w:rFonts w:asciiTheme="majorBidi" w:hAnsiTheme="majorBidi" w:cstheme="majorBidi"/>
          <w:color w:val="000000"/>
          <w:szCs w:val="24"/>
        </w:rPr>
        <w:t>meet</w:t>
      </w:r>
      <w:proofErr w:type="gramEnd"/>
      <w:r w:rsidRPr="002C45E7">
        <w:rPr>
          <w:rFonts w:asciiTheme="majorBidi" w:hAnsiTheme="majorBidi" w:cstheme="majorBidi"/>
          <w:color w:val="000000"/>
          <w:szCs w:val="24"/>
        </w:rPr>
        <w:t xml:space="preserve"> the requirements where the transaction must be done in cash in </w:t>
      </w:r>
      <w:r w:rsidR="002C45E7">
        <w:rPr>
          <w:rFonts w:asciiTheme="majorBidi" w:hAnsiTheme="majorBidi" w:cstheme="majorBidi"/>
          <w:color w:val="000000"/>
          <w:szCs w:val="24"/>
        </w:rPr>
        <w:t>order to prevent the usury (</w:t>
      </w:r>
      <w:r w:rsidRPr="002C45E7">
        <w:rPr>
          <w:rFonts w:asciiTheme="majorBidi" w:hAnsiTheme="majorBidi" w:cstheme="majorBidi"/>
          <w:color w:val="000000"/>
          <w:szCs w:val="24"/>
        </w:rPr>
        <w:t xml:space="preserve">included in usury </w:t>
      </w:r>
      <w:proofErr w:type="spellStart"/>
      <w:r w:rsidRPr="002C45E7">
        <w:rPr>
          <w:rFonts w:asciiTheme="majorBidi" w:hAnsiTheme="majorBidi" w:cstheme="majorBidi"/>
          <w:color w:val="000000"/>
          <w:szCs w:val="24"/>
        </w:rPr>
        <w:t>nasi'ah</w:t>
      </w:r>
      <w:proofErr w:type="spellEnd"/>
      <w:r w:rsidRPr="002C45E7">
        <w:rPr>
          <w:rFonts w:asciiTheme="majorBidi" w:hAnsiTheme="majorBidi" w:cstheme="majorBidi"/>
          <w:color w:val="000000"/>
          <w:szCs w:val="24"/>
        </w:rPr>
        <w:t xml:space="preserve">). The second are </w:t>
      </w:r>
      <w:proofErr w:type="spellStart"/>
      <w:r w:rsidRPr="002C45E7">
        <w:rPr>
          <w:rFonts w:asciiTheme="majorBidi" w:hAnsiTheme="majorBidi" w:cstheme="majorBidi"/>
          <w:color w:val="000000"/>
          <w:szCs w:val="24"/>
        </w:rPr>
        <w:t>Ibn</w:t>
      </w:r>
      <w:proofErr w:type="spellEnd"/>
      <w:r w:rsidRPr="002C45E7">
        <w:rPr>
          <w:rFonts w:asciiTheme="majorBidi" w:hAnsiTheme="majorBidi" w:cstheme="majorBidi"/>
          <w:color w:val="000000"/>
          <w:szCs w:val="24"/>
        </w:rPr>
        <w:t xml:space="preserve"> </w:t>
      </w:r>
      <w:proofErr w:type="spellStart"/>
      <w:r w:rsidRPr="002C45E7">
        <w:rPr>
          <w:rFonts w:asciiTheme="majorBidi" w:hAnsiTheme="majorBidi" w:cstheme="majorBidi"/>
          <w:color w:val="000000"/>
          <w:szCs w:val="24"/>
        </w:rPr>
        <w:t>Taimiyah's</w:t>
      </w:r>
      <w:proofErr w:type="spellEnd"/>
      <w:r w:rsidRPr="002C45E7">
        <w:rPr>
          <w:rFonts w:asciiTheme="majorBidi" w:hAnsiTheme="majorBidi" w:cstheme="majorBidi"/>
          <w:color w:val="000000"/>
          <w:szCs w:val="24"/>
        </w:rPr>
        <w:t xml:space="preserve"> opinion and DSN-MUI regulation shown that as long the transaction fulfill the requirement, it is allowed </w:t>
      </w:r>
      <w:r w:rsidRPr="002C45E7">
        <w:rPr>
          <w:rFonts w:asciiTheme="majorBidi" w:hAnsiTheme="majorBidi" w:cstheme="majorBidi"/>
          <w:color w:val="000000"/>
          <w:szCs w:val="24"/>
        </w:rPr>
        <w:fldChar w:fldCharType="begin" w:fldLock="1"/>
      </w:r>
      <w:r w:rsidRPr="002C45E7">
        <w:rPr>
          <w:rFonts w:asciiTheme="majorBidi" w:hAnsiTheme="majorBidi" w:cstheme="majorBidi"/>
          <w:color w:val="000000"/>
          <w:szCs w:val="24"/>
        </w:rPr>
        <w:instrText>ADDIN CSL_CITATION {"citationItems":[{"id":"ITEM-1","itemData":{"abstract":"This study is intended to explain the Islamic law review of investment. This research method is carried out by reading reference books, journals and other media related to investment. This research shows that investment is an activity to place funds in one or more types of assets during a certain period with the hope of earning income and / or an increase in investment value in the future. In investing, Islam has described good and correct procedures to avoid losses. The legal basis regarding investment is contained in several verses in the Al-Qur'an, including: QS. al-Baqarah: 261, QS. An-Nisa ':: 9, Lukman: 34 and al-Hasyr: 18. Islam allows investment on condition that the investment must meet the rules in accordance with Islamic law.","author":[{"dropping-particle":"","family":"Arafat","given":"Muhammad","non-dropping-particle":"","parse-names":false,"suffix":""}],"container-title":"Jurnal At-Tsaman","id":"ITEM-1","issue":"1","issued":{"date-parts":[["2022"]]},"page":"152-161","title":"Tinjauan Hukum Islam Terhadap Investasi Emas Online Melalui TokopediaEmas","type":"article-journal","volume":"2"},"uris":["http://www.mendeley.com/documents/?uuid=d294354c-406d-42a5-b39f-d24c1e51a6ff"]}],"mendeley":{"formattedCitation":"(Arafat, 2022)","plainTextFormattedCitation":"(Arafat, 2022)","previouslyFormattedCitation":"Muhammad Arafat, “Tinjauan Hukum Islam Terhadap Investasi Emas Online Melalui TokopediaEmas,” &lt;i&gt;Jurnal At-Tsaman&lt;/i&gt; 2, no. 1 (2022): 152–61."},"properties":{"noteIndex":0},"schema":"https://github.com/citation-style-language/schema/raw/master/csl-citation.json"}</w:instrText>
      </w:r>
      <w:r w:rsidRPr="002C45E7">
        <w:rPr>
          <w:rFonts w:asciiTheme="majorBidi" w:hAnsiTheme="majorBidi" w:cstheme="majorBidi"/>
          <w:color w:val="000000"/>
          <w:szCs w:val="24"/>
        </w:rPr>
        <w:fldChar w:fldCharType="separate"/>
      </w:r>
      <w:r w:rsidRPr="002C45E7">
        <w:rPr>
          <w:rFonts w:asciiTheme="majorBidi" w:hAnsiTheme="majorBidi" w:cstheme="majorBidi"/>
          <w:color w:val="000000"/>
          <w:szCs w:val="24"/>
        </w:rPr>
        <w:t>(Arafat, 2022)</w:t>
      </w:r>
      <w:r w:rsidRPr="002C45E7">
        <w:rPr>
          <w:rFonts w:asciiTheme="majorBidi" w:hAnsiTheme="majorBidi" w:cstheme="majorBidi"/>
          <w:color w:val="000000"/>
          <w:szCs w:val="24"/>
        </w:rPr>
        <w:fldChar w:fldCharType="end"/>
      </w:r>
      <w:r w:rsidRPr="002C45E7">
        <w:rPr>
          <w:rFonts w:asciiTheme="majorBidi" w:hAnsiTheme="majorBidi" w:cstheme="majorBidi"/>
          <w:color w:val="000000"/>
          <w:szCs w:val="24"/>
        </w:rPr>
        <w:t>.</w:t>
      </w:r>
      <w:r w:rsidR="00A01C21" w:rsidRPr="002C45E7">
        <w:rPr>
          <w:rFonts w:asciiTheme="majorBidi" w:hAnsiTheme="majorBidi" w:cstheme="majorBidi"/>
          <w:color w:val="000000"/>
          <w:szCs w:val="24"/>
        </w:rPr>
        <w:t xml:space="preserve"> </w:t>
      </w:r>
    </w:p>
    <w:p w:rsidR="00A01C21" w:rsidRPr="002C45E7" w:rsidRDefault="008A72D4" w:rsidP="002C45E7">
      <w:pPr>
        <w:pStyle w:val="Heading2"/>
        <w:spacing w:before="240" w:after="120"/>
        <w:rPr>
          <w:rFonts w:asciiTheme="majorBidi" w:hAnsiTheme="majorBidi" w:cstheme="majorBidi"/>
          <w:color w:val="000000"/>
        </w:rPr>
      </w:pPr>
      <w:r w:rsidRPr="002C45E7">
        <w:rPr>
          <w:rFonts w:asciiTheme="majorBidi" w:hAnsiTheme="majorBidi" w:cstheme="majorBidi"/>
          <w:color w:val="000000"/>
        </w:rPr>
        <w:lastRenderedPageBreak/>
        <w:t>CONCLUSION</w:t>
      </w:r>
    </w:p>
    <w:p w:rsidR="009E0B33" w:rsidRPr="002C45E7" w:rsidRDefault="009E0B33" w:rsidP="002C45E7">
      <w:pPr>
        <w:pStyle w:val="Body"/>
        <w:spacing w:before="120"/>
        <w:ind w:firstLine="709"/>
        <w:rPr>
          <w:rFonts w:asciiTheme="majorBidi" w:hAnsiTheme="majorBidi" w:cstheme="majorBidi"/>
          <w:color w:val="000000"/>
          <w:szCs w:val="24"/>
        </w:rPr>
      </w:pPr>
      <w:r w:rsidRPr="002C45E7">
        <w:rPr>
          <w:rFonts w:asciiTheme="majorBidi" w:hAnsiTheme="majorBidi" w:cstheme="majorBidi"/>
          <w:color w:val="000000"/>
          <w:szCs w:val="24"/>
        </w:rPr>
        <w:t xml:space="preserve">Gold investment is really recommended because more profitable and gold performed relatively better than many other assets in the early pandemic stages. Besides that, trend of gold price showing the </w:t>
      </w:r>
      <w:proofErr w:type="spellStart"/>
      <w:r w:rsidRPr="002C45E7">
        <w:rPr>
          <w:rFonts w:asciiTheme="majorBidi" w:hAnsiTheme="majorBidi" w:cstheme="majorBidi"/>
          <w:color w:val="000000"/>
          <w:szCs w:val="24"/>
        </w:rPr>
        <w:t>the</w:t>
      </w:r>
      <w:proofErr w:type="spellEnd"/>
      <w:r w:rsidRPr="002C45E7">
        <w:rPr>
          <w:rFonts w:asciiTheme="majorBidi" w:hAnsiTheme="majorBidi" w:cstheme="majorBidi"/>
          <w:color w:val="000000"/>
          <w:szCs w:val="24"/>
        </w:rPr>
        <w:t xml:space="preserve"> fluctuation graph and the price is increase timely. And also, digital transaction is appointed on al-</w:t>
      </w:r>
      <w:proofErr w:type="spellStart"/>
      <w:r w:rsidRPr="002C45E7">
        <w:rPr>
          <w:rFonts w:asciiTheme="majorBidi" w:hAnsiTheme="majorBidi" w:cstheme="majorBidi"/>
          <w:color w:val="000000"/>
          <w:szCs w:val="24"/>
        </w:rPr>
        <w:t>qur’an</w:t>
      </w:r>
      <w:proofErr w:type="spellEnd"/>
      <w:r w:rsidRPr="002C45E7">
        <w:rPr>
          <w:rFonts w:asciiTheme="majorBidi" w:hAnsiTheme="majorBidi" w:cstheme="majorBidi"/>
          <w:color w:val="000000"/>
          <w:szCs w:val="24"/>
        </w:rPr>
        <w:t xml:space="preserve">, hadith and </w:t>
      </w:r>
      <w:r w:rsidR="002C45E7" w:rsidRPr="002C45E7">
        <w:rPr>
          <w:rFonts w:asciiTheme="majorBidi" w:hAnsiTheme="majorBidi" w:cstheme="majorBidi"/>
          <w:i/>
          <w:iCs/>
          <w:color w:val="000000"/>
          <w:szCs w:val="24"/>
        </w:rPr>
        <w:t>`</w:t>
      </w:r>
      <w:proofErr w:type="spellStart"/>
      <w:r w:rsidRPr="002C45E7">
        <w:rPr>
          <w:rFonts w:asciiTheme="majorBidi" w:hAnsiTheme="majorBidi" w:cstheme="majorBidi"/>
          <w:i/>
          <w:iCs/>
          <w:color w:val="000000"/>
          <w:szCs w:val="24"/>
        </w:rPr>
        <w:t>ijma</w:t>
      </w:r>
      <w:proofErr w:type="spellEnd"/>
      <w:r w:rsidRPr="002C45E7">
        <w:rPr>
          <w:rFonts w:asciiTheme="majorBidi" w:hAnsiTheme="majorBidi" w:cstheme="majorBidi"/>
          <w:i/>
          <w:iCs/>
          <w:color w:val="000000"/>
          <w:szCs w:val="24"/>
        </w:rPr>
        <w:t>’</w:t>
      </w:r>
      <w:r w:rsidRPr="002C45E7">
        <w:rPr>
          <w:rFonts w:asciiTheme="majorBidi" w:hAnsiTheme="majorBidi" w:cstheme="majorBidi"/>
          <w:color w:val="000000"/>
          <w:szCs w:val="24"/>
        </w:rPr>
        <w:t xml:space="preserve">. Meanwhile, there are two opinions regarding allowance and prohibition related to digital gold investment. First, it is forbidden because the payment by credit not cash. Four </w:t>
      </w:r>
      <w:proofErr w:type="spellStart"/>
      <w:r w:rsidRPr="002C45E7">
        <w:rPr>
          <w:rFonts w:asciiTheme="majorBidi" w:hAnsiTheme="majorBidi" w:cstheme="majorBidi"/>
          <w:i/>
          <w:iCs/>
          <w:color w:val="000000"/>
          <w:szCs w:val="24"/>
        </w:rPr>
        <w:t>madzhabs</w:t>
      </w:r>
      <w:proofErr w:type="spellEnd"/>
      <w:r w:rsidRPr="002C45E7">
        <w:rPr>
          <w:rFonts w:asciiTheme="majorBidi" w:hAnsiTheme="majorBidi" w:cstheme="majorBidi"/>
          <w:i/>
          <w:iCs/>
          <w:color w:val="000000"/>
          <w:szCs w:val="24"/>
        </w:rPr>
        <w:t>'</w:t>
      </w:r>
      <w:r w:rsidRPr="002C45E7">
        <w:rPr>
          <w:rFonts w:asciiTheme="majorBidi" w:hAnsiTheme="majorBidi" w:cstheme="majorBidi"/>
          <w:color w:val="000000"/>
          <w:szCs w:val="24"/>
        </w:rPr>
        <w:t xml:space="preserve"> </w:t>
      </w:r>
      <w:proofErr w:type="gramStart"/>
      <w:r w:rsidRPr="002C45E7">
        <w:rPr>
          <w:rFonts w:asciiTheme="majorBidi" w:hAnsiTheme="majorBidi" w:cstheme="majorBidi"/>
          <w:color w:val="000000"/>
          <w:szCs w:val="24"/>
        </w:rPr>
        <w:t>opinion are</w:t>
      </w:r>
      <w:proofErr w:type="gramEnd"/>
      <w:r w:rsidRPr="002C45E7">
        <w:rPr>
          <w:rFonts w:asciiTheme="majorBidi" w:hAnsiTheme="majorBidi" w:cstheme="majorBidi"/>
          <w:color w:val="000000"/>
          <w:szCs w:val="24"/>
        </w:rPr>
        <w:t xml:space="preserve"> transaction must be meet the requirements where the transaction must be done in cash in order to prevent the usury. The second are </w:t>
      </w:r>
      <w:proofErr w:type="spellStart"/>
      <w:r w:rsidRPr="002C45E7">
        <w:rPr>
          <w:rFonts w:asciiTheme="majorBidi" w:hAnsiTheme="majorBidi" w:cstheme="majorBidi"/>
          <w:color w:val="000000"/>
          <w:szCs w:val="24"/>
        </w:rPr>
        <w:t>Ibn</w:t>
      </w:r>
      <w:proofErr w:type="spellEnd"/>
      <w:r w:rsidRPr="002C45E7">
        <w:rPr>
          <w:rFonts w:asciiTheme="majorBidi" w:hAnsiTheme="majorBidi" w:cstheme="majorBidi"/>
          <w:color w:val="000000"/>
          <w:szCs w:val="24"/>
        </w:rPr>
        <w:t xml:space="preserve"> </w:t>
      </w:r>
      <w:proofErr w:type="spellStart"/>
      <w:r w:rsidRPr="002C45E7">
        <w:rPr>
          <w:rFonts w:asciiTheme="majorBidi" w:hAnsiTheme="majorBidi" w:cstheme="majorBidi"/>
          <w:color w:val="000000"/>
          <w:szCs w:val="24"/>
        </w:rPr>
        <w:t>Taimiyah's</w:t>
      </w:r>
      <w:proofErr w:type="spellEnd"/>
      <w:r w:rsidRPr="002C45E7">
        <w:rPr>
          <w:rFonts w:asciiTheme="majorBidi" w:hAnsiTheme="majorBidi" w:cstheme="majorBidi"/>
          <w:color w:val="000000"/>
          <w:szCs w:val="24"/>
        </w:rPr>
        <w:t xml:space="preserve"> opinion and DSN-MUI regulation shown that as long the transaction fulfill the requirement, it is allowed. Deeply research is </w:t>
      </w:r>
      <w:proofErr w:type="gramStart"/>
      <w:r w:rsidRPr="002C45E7">
        <w:rPr>
          <w:rFonts w:asciiTheme="majorBidi" w:hAnsiTheme="majorBidi" w:cstheme="majorBidi"/>
          <w:color w:val="000000"/>
          <w:szCs w:val="24"/>
        </w:rPr>
        <w:t>require</w:t>
      </w:r>
      <w:proofErr w:type="gramEnd"/>
      <w:r w:rsidRPr="002C45E7">
        <w:rPr>
          <w:rFonts w:asciiTheme="majorBidi" w:hAnsiTheme="majorBidi" w:cstheme="majorBidi"/>
          <w:color w:val="000000"/>
          <w:szCs w:val="24"/>
        </w:rPr>
        <w:t xml:space="preserve"> in order to change the community perspective to invest in digital gold.</w:t>
      </w:r>
    </w:p>
    <w:p w:rsidR="00D32285" w:rsidRPr="002C45E7" w:rsidRDefault="00D32285" w:rsidP="009E0B33">
      <w:pPr>
        <w:pStyle w:val="Body"/>
        <w:spacing w:before="120" w:line="240" w:lineRule="auto"/>
        <w:rPr>
          <w:rFonts w:asciiTheme="majorBidi" w:hAnsiTheme="majorBidi" w:cstheme="majorBidi"/>
          <w:color w:val="000000"/>
          <w:szCs w:val="24"/>
        </w:rPr>
      </w:pPr>
    </w:p>
    <w:p w:rsidR="000B2CA6" w:rsidRPr="00694646" w:rsidRDefault="000B2CA6" w:rsidP="000B2CA6">
      <w:pPr>
        <w:rPr>
          <w:rFonts w:ascii="Garamond" w:hAnsi="Garamond"/>
          <w:color w:val="000000"/>
        </w:rPr>
      </w:pPr>
    </w:p>
    <w:p w:rsidR="00A01C21" w:rsidRPr="00694646" w:rsidRDefault="00A01C21" w:rsidP="00551B67">
      <w:pPr>
        <w:pStyle w:val="Body"/>
        <w:spacing w:line="240" w:lineRule="auto"/>
        <w:ind w:firstLine="0"/>
        <w:rPr>
          <w:rFonts w:ascii="Garamond" w:hAnsi="Garamond"/>
          <w:color w:val="000000"/>
          <w:szCs w:val="24"/>
        </w:rPr>
      </w:pPr>
    </w:p>
    <w:p w:rsidR="00A01C21" w:rsidRPr="00694646" w:rsidRDefault="00A01C21" w:rsidP="000B2CA6">
      <w:pPr>
        <w:pStyle w:val="Body"/>
        <w:spacing w:line="240" w:lineRule="auto"/>
        <w:rPr>
          <w:rFonts w:ascii="Garamond" w:hAnsi="Garamond"/>
          <w:color w:val="000000"/>
          <w:szCs w:val="24"/>
        </w:rPr>
      </w:pPr>
    </w:p>
    <w:p w:rsidR="00A01C21" w:rsidRPr="00694646" w:rsidRDefault="00A01C21" w:rsidP="00551B67">
      <w:pPr>
        <w:rPr>
          <w:rFonts w:ascii="Garamond" w:hAnsi="Garamond"/>
          <w:color w:val="000000"/>
        </w:rPr>
      </w:pPr>
    </w:p>
    <w:p w:rsidR="00A01C21" w:rsidRPr="00694646" w:rsidRDefault="00A01C21" w:rsidP="00551B67">
      <w:pPr>
        <w:rPr>
          <w:rFonts w:ascii="Garamond" w:hAnsi="Garamond"/>
          <w:color w:val="000000"/>
        </w:rPr>
      </w:pPr>
    </w:p>
    <w:p w:rsidR="00A01C21" w:rsidRPr="00694646" w:rsidRDefault="00A01C21" w:rsidP="00551B67">
      <w:pPr>
        <w:rPr>
          <w:rFonts w:ascii="Garamond" w:hAnsi="Garamond"/>
          <w:color w:val="000000"/>
        </w:rPr>
      </w:pPr>
    </w:p>
    <w:p w:rsidR="00A01C21" w:rsidRPr="00694646" w:rsidRDefault="00A01C21" w:rsidP="00551B67">
      <w:pPr>
        <w:rPr>
          <w:rFonts w:ascii="Garamond" w:hAnsi="Garamond"/>
          <w:color w:val="000000"/>
        </w:rPr>
      </w:pPr>
    </w:p>
    <w:p w:rsidR="00A01C21" w:rsidRPr="00694646" w:rsidRDefault="00A01C21" w:rsidP="00551B67">
      <w:pPr>
        <w:rPr>
          <w:rFonts w:ascii="Garamond" w:hAnsi="Garamond"/>
          <w:color w:val="000000"/>
        </w:rPr>
      </w:pPr>
    </w:p>
    <w:p w:rsidR="00A01C21" w:rsidRPr="00694646" w:rsidRDefault="00A01C21" w:rsidP="00551B67">
      <w:pPr>
        <w:rPr>
          <w:rFonts w:ascii="Garamond" w:hAnsi="Garamond"/>
          <w:color w:val="000000"/>
        </w:rPr>
      </w:pPr>
    </w:p>
    <w:p w:rsidR="00A01C21" w:rsidRPr="00694646" w:rsidRDefault="00A01C21" w:rsidP="00551B67">
      <w:pPr>
        <w:rPr>
          <w:rFonts w:ascii="Garamond" w:hAnsi="Garamond"/>
          <w:color w:val="000000"/>
        </w:rPr>
      </w:pPr>
    </w:p>
    <w:p w:rsidR="00A01C21" w:rsidRPr="00694646" w:rsidRDefault="00A01C21" w:rsidP="00551B67">
      <w:pPr>
        <w:rPr>
          <w:rFonts w:ascii="Garamond" w:hAnsi="Garamond"/>
          <w:color w:val="000000"/>
        </w:rPr>
      </w:pPr>
    </w:p>
    <w:p w:rsidR="002979BD" w:rsidRDefault="002979BD" w:rsidP="00551B67">
      <w:pPr>
        <w:rPr>
          <w:rFonts w:ascii="Garamond" w:hAnsi="Garamond"/>
          <w:color w:val="000000"/>
        </w:rPr>
      </w:pPr>
    </w:p>
    <w:p w:rsidR="00CD0C5C" w:rsidRDefault="00CD0C5C" w:rsidP="00551B67">
      <w:pPr>
        <w:rPr>
          <w:rFonts w:ascii="Garamond" w:hAnsi="Garamond"/>
          <w:color w:val="000000"/>
        </w:rPr>
      </w:pPr>
    </w:p>
    <w:p w:rsidR="00CD0C5C" w:rsidRDefault="00CD0C5C" w:rsidP="00551B67">
      <w:pPr>
        <w:rPr>
          <w:rFonts w:ascii="Garamond" w:hAnsi="Garamond"/>
          <w:color w:val="000000"/>
        </w:rPr>
      </w:pPr>
    </w:p>
    <w:p w:rsidR="004A0FE2" w:rsidRDefault="004A0FE2" w:rsidP="00551B67">
      <w:pPr>
        <w:rPr>
          <w:rFonts w:ascii="Garamond" w:hAnsi="Garamond"/>
          <w:color w:val="000000"/>
        </w:rPr>
      </w:pPr>
    </w:p>
    <w:p w:rsidR="004A0FE2" w:rsidRDefault="004A0FE2" w:rsidP="00551B67">
      <w:pPr>
        <w:rPr>
          <w:rFonts w:ascii="Garamond" w:hAnsi="Garamond"/>
          <w:color w:val="000000"/>
        </w:rPr>
      </w:pPr>
    </w:p>
    <w:p w:rsidR="004A0FE2" w:rsidRDefault="004A0FE2" w:rsidP="00551B67">
      <w:pPr>
        <w:rPr>
          <w:rFonts w:ascii="Garamond" w:hAnsi="Garamond"/>
          <w:color w:val="000000"/>
        </w:rPr>
      </w:pPr>
    </w:p>
    <w:p w:rsidR="002B11B1" w:rsidRDefault="002B11B1" w:rsidP="00551B67">
      <w:pPr>
        <w:rPr>
          <w:rFonts w:ascii="Garamond" w:hAnsi="Garamond"/>
          <w:color w:val="000000"/>
        </w:rPr>
      </w:pPr>
    </w:p>
    <w:p w:rsidR="002B11B1" w:rsidRDefault="002B11B1" w:rsidP="00551B67">
      <w:pPr>
        <w:rPr>
          <w:rFonts w:ascii="Garamond" w:hAnsi="Garamond"/>
          <w:color w:val="000000"/>
        </w:rPr>
      </w:pPr>
    </w:p>
    <w:p w:rsidR="002B11B1" w:rsidRDefault="002B11B1" w:rsidP="00551B67">
      <w:pPr>
        <w:rPr>
          <w:rFonts w:ascii="Garamond" w:hAnsi="Garamond"/>
          <w:color w:val="000000"/>
        </w:rPr>
      </w:pPr>
    </w:p>
    <w:p w:rsidR="002B11B1" w:rsidRDefault="002B11B1" w:rsidP="00551B67">
      <w:pPr>
        <w:rPr>
          <w:rFonts w:ascii="Garamond" w:hAnsi="Garamond"/>
          <w:color w:val="000000"/>
        </w:rPr>
      </w:pPr>
    </w:p>
    <w:p w:rsidR="004A0FE2" w:rsidRDefault="004A0FE2" w:rsidP="00551B67">
      <w:pPr>
        <w:rPr>
          <w:rFonts w:ascii="Garamond" w:hAnsi="Garamond"/>
          <w:color w:val="000000"/>
        </w:rPr>
      </w:pPr>
    </w:p>
    <w:p w:rsidR="004A0FE2" w:rsidRDefault="004A0FE2" w:rsidP="004A0FE2">
      <w:pPr>
        <w:spacing w:line="300" w:lineRule="auto"/>
        <w:jc w:val="center"/>
        <w:rPr>
          <w:b/>
        </w:rPr>
      </w:pPr>
      <w:r>
        <w:rPr>
          <w:b/>
        </w:rPr>
        <w:lastRenderedPageBreak/>
        <w:t>REFERENCES</w:t>
      </w:r>
    </w:p>
    <w:p w:rsidR="004A0FE2" w:rsidRPr="000F47F9" w:rsidRDefault="004A0FE2" w:rsidP="004A0FE2">
      <w:pPr>
        <w:widowControl w:val="0"/>
        <w:autoSpaceDE w:val="0"/>
        <w:autoSpaceDN w:val="0"/>
        <w:adjustRightInd w:val="0"/>
        <w:spacing w:after="80"/>
        <w:ind w:left="709" w:hanging="709"/>
        <w:jc w:val="both"/>
        <w:rPr>
          <w:noProof/>
        </w:rPr>
      </w:pPr>
      <w:r>
        <w:fldChar w:fldCharType="begin" w:fldLock="1"/>
      </w:r>
      <w:r>
        <w:instrText xml:space="preserve">ADDIN Mendeley Bibliography CSL_BIBLIOGRAPHY </w:instrText>
      </w:r>
      <w:r>
        <w:fldChar w:fldCharType="separate"/>
      </w:r>
      <w:r w:rsidRPr="000F47F9">
        <w:rPr>
          <w:noProof/>
        </w:rPr>
        <w:t xml:space="preserve">Aeni, N. (2021). Pandemi COVID-19: Dampak Kesehatan, Ekonomi, &amp; Sosial. </w:t>
      </w:r>
      <w:r w:rsidRPr="000F47F9">
        <w:rPr>
          <w:i/>
          <w:iCs/>
          <w:noProof/>
        </w:rPr>
        <w:t>Jurnal Litbang: Media Informasi Penelitian, Pengembangan Dan IPTEK</w:t>
      </w:r>
      <w:r w:rsidRPr="000F47F9">
        <w:rPr>
          <w:noProof/>
        </w:rPr>
        <w:t xml:space="preserve">, </w:t>
      </w:r>
      <w:r w:rsidRPr="000F47F9">
        <w:rPr>
          <w:i/>
          <w:iCs/>
          <w:noProof/>
        </w:rPr>
        <w:t>17</w:t>
      </w:r>
      <w:r w:rsidRPr="000F47F9">
        <w:rPr>
          <w:noProof/>
        </w:rPr>
        <w:t>(1), 17–34. https://doi.org/10.33658/jl.v17i1.249</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Akhtaruzzaman, M., Boubaker, S., Lucey, B. M., &amp; Sensoy, A. (2021). Is gold a hedge or a safe-haven asset in the COVID–19 crisis? </w:t>
      </w:r>
      <w:r w:rsidRPr="000F47F9">
        <w:rPr>
          <w:i/>
          <w:iCs/>
          <w:noProof/>
        </w:rPr>
        <w:t>Economic Modelling</w:t>
      </w:r>
      <w:r w:rsidRPr="000F47F9">
        <w:rPr>
          <w:noProof/>
        </w:rPr>
        <w:t xml:space="preserve">, </w:t>
      </w:r>
      <w:r w:rsidRPr="000F47F9">
        <w:rPr>
          <w:i/>
          <w:iCs/>
          <w:noProof/>
        </w:rPr>
        <w:t>102</w:t>
      </w:r>
      <w:r w:rsidRPr="000F47F9">
        <w:rPr>
          <w:noProof/>
        </w:rPr>
        <w:t>(June), 105588. https://doi.org/10.1016/j.econmod.2021.105588</w:t>
      </w:r>
    </w:p>
    <w:p w:rsidR="004A0FE2" w:rsidRPr="002B11B1" w:rsidRDefault="004A0FE2" w:rsidP="004A0FE2">
      <w:pPr>
        <w:widowControl w:val="0"/>
        <w:autoSpaceDE w:val="0"/>
        <w:autoSpaceDN w:val="0"/>
        <w:adjustRightInd w:val="0"/>
        <w:spacing w:after="80"/>
        <w:ind w:left="709" w:hanging="709"/>
        <w:jc w:val="both"/>
        <w:rPr>
          <w:rFonts w:asciiTheme="majorBidi" w:hAnsiTheme="majorBidi" w:cstheme="majorBidi"/>
          <w:noProof/>
        </w:rPr>
      </w:pPr>
      <w:r w:rsidRPr="002B11B1">
        <w:rPr>
          <w:rFonts w:asciiTheme="majorBidi" w:hAnsiTheme="majorBidi" w:cstheme="majorBidi"/>
          <w:noProof/>
        </w:rPr>
        <w:t xml:space="preserve">Arafat, M. (2022). Tinjauan Hukum Islam Terhadap Investasi Emas Online Melalui TokopediaEmas. </w:t>
      </w:r>
      <w:r w:rsidRPr="002B11B1">
        <w:rPr>
          <w:rFonts w:asciiTheme="majorBidi" w:hAnsiTheme="majorBidi" w:cstheme="majorBidi"/>
          <w:i/>
          <w:iCs/>
          <w:noProof/>
        </w:rPr>
        <w:t>Jurnal At-Tsaman</w:t>
      </w:r>
      <w:r w:rsidRPr="002B11B1">
        <w:rPr>
          <w:rFonts w:asciiTheme="majorBidi" w:hAnsiTheme="majorBidi" w:cstheme="majorBidi"/>
          <w:noProof/>
        </w:rPr>
        <w:t xml:space="preserve">, </w:t>
      </w:r>
      <w:r w:rsidRPr="002B11B1">
        <w:rPr>
          <w:rFonts w:asciiTheme="majorBidi" w:hAnsiTheme="majorBidi" w:cstheme="majorBidi"/>
          <w:i/>
          <w:iCs/>
          <w:noProof/>
        </w:rPr>
        <w:t>2</w:t>
      </w:r>
      <w:r w:rsidRPr="002B11B1">
        <w:rPr>
          <w:rFonts w:asciiTheme="majorBidi" w:hAnsiTheme="majorBidi" w:cstheme="majorBidi"/>
          <w:noProof/>
        </w:rPr>
        <w:t>(1), 152–161.</w:t>
      </w:r>
    </w:p>
    <w:p w:rsidR="002B11B1" w:rsidRPr="002B11B1" w:rsidRDefault="002B11B1" w:rsidP="004A0FE2">
      <w:pPr>
        <w:widowControl w:val="0"/>
        <w:autoSpaceDE w:val="0"/>
        <w:autoSpaceDN w:val="0"/>
        <w:adjustRightInd w:val="0"/>
        <w:spacing w:after="80"/>
        <w:ind w:left="709" w:hanging="709"/>
        <w:jc w:val="both"/>
        <w:rPr>
          <w:rFonts w:asciiTheme="majorBidi" w:hAnsiTheme="majorBidi" w:cstheme="majorBidi"/>
          <w:noProof/>
        </w:rPr>
      </w:pPr>
      <w:r w:rsidRPr="002B11B1">
        <w:rPr>
          <w:rFonts w:asciiTheme="majorBidi" w:hAnsiTheme="majorBidi" w:cstheme="majorBidi"/>
          <w:color w:val="222222"/>
          <w:shd w:val="clear" w:color="auto" w:fill="FFFFFF"/>
        </w:rPr>
        <w:t>Budiman, B., Adawiyah, E. R., Syukri, M., Ibadurohmah, I., &amp; Wahrudin, U. (2023). Effect of Electronic Money Transactions on Customer Satisfaction According to Sharia Economy (Case Study at STAI La Tansa Mashiro). </w:t>
      </w:r>
      <w:r w:rsidRPr="002B11B1">
        <w:rPr>
          <w:rFonts w:asciiTheme="majorBidi" w:hAnsiTheme="majorBidi" w:cstheme="majorBidi"/>
          <w:i/>
          <w:iCs/>
          <w:color w:val="222222"/>
          <w:shd w:val="clear" w:color="auto" w:fill="FFFFFF"/>
        </w:rPr>
        <w:t>AL-FALAH: Journal of Islamic Economics</w:t>
      </w:r>
      <w:r w:rsidRPr="002B11B1">
        <w:rPr>
          <w:rFonts w:asciiTheme="majorBidi" w:hAnsiTheme="majorBidi" w:cstheme="majorBidi"/>
          <w:color w:val="222222"/>
          <w:shd w:val="clear" w:color="auto" w:fill="FFFFFF"/>
        </w:rPr>
        <w:t>, </w:t>
      </w:r>
      <w:r w:rsidRPr="002B11B1">
        <w:rPr>
          <w:rFonts w:asciiTheme="majorBidi" w:hAnsiTheme="majorBidi" w:cstheme="majorBidi"/>
          <w:i/>
          <w:iCs/>
          <w:color w:val="222222"/>
          <w:shd w:val="clear" w:color="auto" w:fill="FFFFFF"/>
        </w:rPr>
        <w:t>8</w:t>
      </w:r>
      <w:r w:rsidRPr="002B11B1">
        <w:rPr>
          <w:rFonts w:asciiTheme="majorBidi" w:hAnsiTheme="majorBidi" w:cstheme="majorBidi"/>
          <w:color w:val="222222"/>
          <w:shd w:val="clear" w:color="auto" w:fill="FFFFFF"/>
        </w:rPr>
        <w:t>(1), 97-118.</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Bouri, E., Shahzad, S. J. H., Roubaud, D., Kristoufek, L., &amp; Lucey, B. (2020). Bitcoin, gold, and commodities as safe havens for stocks: new insight through wavelet analysis. </w:t>
      </w:r>
      <w:r w:rsidRPr="000F47F9">
        <w:rPr>
          <w:i/>
          <w:iCs/>
          <w:noProof/>
        </w:rPr>
        <w:t>The Quarterly Review of Economics and Finance</w:t>
      </w:r>
      <w:r w:rsidRPr="000F47F9">
        <w:rPr>
          <w:noProof/>
        </w:rPr>
        <w:t xml:space="preserve">, </w:t>
      </w:r>
      <w:r w:rsidRPr="000F47F9">
        <w:rPr>
          <w:i/>
          <w:iCs/>
          <w:noProof/>
        </w:rPr>
        <w:t>77</w:t>
      </w:r>
      <w:r w:rsidRPr="000F47F9">
        <w:rPr>
          <w:noProof/>
        </w:rPr>
        <w:t>, 156–164. https://www.sciencedirect.com/science/article/abs/pii/S1062976920300326</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Chong, D., &amp; Ali, H. (2022). Literature Review: Competitive Strategy, Competitive Advantages, and Marketing Performance on E-Commerce Shopee Indonesia. </w:t>
      </w:r>
      <w:r w:rsidRPr="000F47F9">
        <w:rPr>
          <w:i/>
          <w:iCs/>
          <w:noProof/>
        </w:rPr>
        <w:t>Dinasti International Journal of Digital Business Management</w:t>
      </w:r>
      <w:r w:rsidRPr="000F47F9">
        <w:rPr>
          <w:noProof/>
        </w:rPr>
        <w:t xml:space="preserve">, </w:t>
      </w:r>
      <w:r w:rsidRPr="000F47F9">
        <w:rPr>
          <w:i/>
          <w:iCs/>
          <w:noProof/>
        </w:rPr>
        <w:t>3</w:t>
      </w:r>
      <w:r w:rsidRPr="000F47F9">
        <w:rPr>
          <w:noProof/>
        </w:rPr>
        <w:t>(2), 299–309. https://www.dinastipub.org/DIJDBM/article/view/1198</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Claessens, S., &amp; Kose, M. A. (2023). Recession: When Bad Times Prevail. </w:t>
      </w:r>
      <w:r w:rsidRPr="000F47F9">
        <w:rPr>
          <w:i/>
          <w:iCs/>
          <w:noProof/>
        </w:rPr>
        <w:t>International Monetory Fund</w:t>
      </w:r>
      <w:r w:rsidRPr="000F47F9">
        <w:rPr>
          <w:noProof/>
        </w:rPr>
        <w:t>. https://www.imf.org/external/pubs/ft/fandd/basics/recess.htm</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Coagulopathy, C.--associated, Iba, T., Warkentin, T. E., Thachil, J., Levi, M., &amp; Levy, J. H. (2021). Proposal of the Definition for. </w:t>
      </w:r>
      <w:r w:rsidRPr="000F47F9">
        <w:rPr>
          <w:i/>
          <w:iCs/>
          <w:noProof/>
        </w:rPr>
        <w:t>J Clin Med</w:t>
      </w:r>
      <w:r w:rsidRPr="000F47F9">
        <w:rPr>
          <w:noProof/>
        </w:rPr>
        <w:t xml:space="preserve">, </w:t>
      </w:r>
      <w:r w:rsidRPr="000F47F9">
        <w:rPr>
          <w:i/>
          <w:iCs/>
          <w:noProof/>
        </w:rPr>
        <w:t>10</w:t>
      </w:r>
      <w:r w:rsidRPr="000F47F9">
        <w:rPr>
          <w:noProof/>
        </w:rPr>
        <w:t>(191), 1–9.</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Darmastuti, S., Juned, M., Susanto, F. A., &amp; Al-Husin, R. N. (2021). COVID-19 dan Kebijakan dalam Menyikapi Resesi Ekonomi: Studi Kasus Indonesia, Filipina, dan Singapura. </w:t>
      </w:r>
      <w:r w:rsidRPr="000F47F9">
        <w:rPr>
          <w:i/>
          <w:iCs/>
          <w:noProof/>
        </w:rPr>
        <w:t>Jurnal Madani: Ilmu Pengetahuan, Teknologi, Dan Humaniora</w:t>
      </w:r>
      <w:r w:rsidRPr="000F47F9">
        <w:rPr>
          <w:noProof/>
        </w:rPr>
        <w:t xml:space="preserve">, </w:t>
      </w:r>
      <w:r w:rsidRPr="000F47F9">
        <w:rPr>
          <w:i/>
          <w:iCs/>
          <w:noProof/>
        </w:rPr>
        <w:t>4</w:t>
      </w:r>
      <w:r w:rsidRPr="000F47F9">
        <w:rPr>
          <w:noProof/>
        </w:rPr>
        <w:t>(1), 70–86. https://doi.org/10.33753/madani.v4i1.148</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Departemen Komunikasi, B. I. (2017). </w:t>
      </w:r>
      <w:r w:rsidRPr="000F47F9">
        <w:rPr>
          <w:i/>
          <w:iCs/>
          <w:noProof/>
        </w:rPr>
        <w:t>Peraturan Bank Indonesia No.19/12/PBI/2017 tentang Penyelenggaraan Teknologi Finansial</w:t>
      </w:r>
      <w:r w:rsidRPr="000F47F9">
        <w:rPr>
          <w:noProof/>
        </w:rPr>
        <w:t xml:space="preserve">. </w:t>
      </w:r>
      <w:r w:rsidRPr="000F47F9">
        <w:rPr>
          <w:noProof/>
        </w:rPr>
        <w:lastRenderedPageBreak/>
        <w:t>https://www.bi.go.id/id/publikasi/peraturan/Pages/pbi_191217.aspx</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DSN-MUI. (n.d.). </w:t>
      </w:r>
      <w:r w:rsidRPr="000F47F9">
        <w:rPr>
          <w:i/>
          <w:iCs/>
          <w:noProof/>
        </w:rPr>
        <w:t>No Title</w:t>
      </w:r>
      <w:r w:rsidRPr="000F47F9">
        <w:rPr>
          <w:noProof/>
        </w:rPr>
        <w:t>. https://dsnmui.or.id/</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Fauziah, A., &amp; Surya, M. E. (2016). Peluang Investasi Emas Jangka Panjang melalui Produk Pembiayaan Bsm Cicil Emas. </w:t>
      </w:r>
      <w:r w:rsidRPr="000F47F9">
        <w:rPr>
          <w:i/>
          <w:iCs/>
          <w:noProof/>
        </w:rPr>
        <w:t>Islamadina</w:t>
      </w:r>
      <w:r w:rsidRPr="000F47F9">
        <w:rPr>
          <w:noProof/>
        </w:rPr>
        <w:t xml:space="preserve">, </w:t>
      </w:r>
      <w:r w:rsidRPr="000F47F9">
        <w:rPr>
          <w:i/>
          <w:iCs/>
          <w:noProof/>
        </w:rPr>
        <w:t>XVI</w:t>
      </w:r>
      <w:r w:rsidRPr="000F47F9">
        <w:rPr>
          <w:noProof/>
        </w:rPr>
        <w:t>(1), 57–73.</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Fauziah, M. R. (2019). INVESTASI LOGAM MULIA (EMAS) DI PENGGADAIAN SYARIAH DALAM PERSFEKTIF HUKUM EKONOMI SYARIAH. </w:t>
      </w:r>
      <w:r w:rsidRPr="000F47F9">
        <w:rPr>
          <w:i/>
          <w:iCs/>
          <w:noProof/>
        </w:rPr>
        <w:t>E-Journal Institut Agama Islam Negeri Ambon</w:t>
      </w:r>
      <w:r w:rsidRPr="000F47F9">
        <w:rPr>
          <w:noProof/>
        </w:rPr>
        <w:t xml:space="preserve">, </w:t>
      </w:r>
      <w:r w:rsidRPr="000F47F9">
        <w:rPr>
          <w:i/>
          <w:iCs/>
          <w:noProof/>
        </w:rPr>
        <w:t>XV</w:t>
      </w:r>
      <w:r w:rsidRPr="000F47F9">
        <w:rPr>
          <w:noProof/>
        </w:rPr>
        <w:t>(1).</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Guénette, J. D., Kose, M. A., &amp; Sugawara, N. (2022). </w:t>
      </w:r>
      <w:r w:rsidRPr="000F47F9">
        <w:rPr>
          <w:i/>
          <w:iCs/>
          <w:noProof/>
        </w:rPr>
        <w:t>Is a Global Recession Imminent? EFI Policy Note 4</w:t>
      </w:r>
      <w:r w:rsidRPr="000F47F9">
        <w:rPr>
          <w:noProof/>
        </w:rPr>
        <w:t xml:space="preserve">. </w:t>
      </w:r>
      <w:r w:rsidRPr="000F47F9">
        <w:rPr>
          <w:i/>
          <w:iCs/>
          <w:noProof/>
        </w:rPr>
        <w:t>September</w:t>
      </w:r>
      <w:r w:rsidRPr="000F47F9">
        <w:rPr>
          <w:noProof/>
        </w:rPr>
        <w:t>, 1–37. https://www.worldbank.org/en/research/brief/global-recession</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Hardiati, N., &amp; Bisri, H. (2020). TINJAUAN HUKUM INVESTASI TERHADAP PASAR MODAL SYARIAH. </w:t>
      </w:r>
      <w:r w:rsidRPr="000F47F9">
        <w:rPr>
          <w:i/>
          <w:iCs/>
          <w:noProof/>
        </w:rPr>
        <w:t>Jurnal Indonesia Sosial Sains</w:t>
      </w:r>
      <w:r w:rsidRPr="000F47F9">
        <w:rPr>
          <w:noProof/>
        </w:rPr>
        <w:t xml:space="preserve">, </w:t>
      </w:r>
      <w:r w:rsidRPr="000F47F9">
        <w:rPr>
          <w:i/>
          <w:iCs/>
          <w:noProof/>
        </w:rPr>
        <w:t>1</w:t>
      </w:r>
      <w:r w:rsidRPr="000F47F9">
        <w:rPr>
          <w:noProof/>
        </w:rPr>
        <w:t>(September), 132–141.</w:t>
      </w:r>
    </w:p>
    <w:p w:rsidR="004A0FE2" w:rsidRPr="000F47F9" w:rsidRDefault="004A0FE2" w:rsidP="004A0FE2">
      <w:pPr>
        <w:widowControl w:val="0"/>
        <w:autoSpaceDE w:val="0"/>
        <w:autoSpaceDN w:val="0"/>
        <w:adjustRightInd w:val="0"/>
        <w:spacing w:after="80"/>
        <w:ind w:left="709" w:hanging="709"/>
        <w:jc w:val="both"/>
        <w:rPr>
          <w:noProof/>
        </w:rPr>
      </w:pPr>
      <w:r w:rsidRPr="000F47F9">
        <w:rPr>
          <w:i/>
          <w:iCs/>
          <w:noProof/>
        </w:rPr>
        <w:t>Harga Emas</w:t>
      </w:r>
      <w:r w:rsidRPr="000F47F9">
        <w:rPr>
          <w:noProof/>
        </w:rPr>
        <w:t>. (n.d.). https://www.logammulia.com/id/harga-emas-hari-ini</w:t>
      </w:r>
    </w:p>
    <w:p w:rsidR="004A0FE2" w:rsidRDefault="004A0FE2" w:rsidP="004A0FE2">
      <w:pPr>
        <w:widowControl w:val="0"/>
        <w:autoSpaceDE w:val="0"/>
        <w:autoSpaceDN w:val="0"/>
        <w:adjustRightInd w:val="0"/>
        <w:spacing w:after="80"/>
        <w:ind w:left="709" w:hanging="709"/>
        <w:jc w:val="both"/>
        <w:rPr>
          <w:noProof/>
        </w:rPr>
      </w:pPr>
      <w:r w:rsidRPr="000F47F9">
        <w:rPr>
          <w:noProof/>
        </w:rPr>
        <w:t xml:space="preserve">Hayati, M. (2016). Investasi menurut perspektif ekonomi islam. </w:t>
      </w:r>
      <w:r w:rsidRPr="000F47F9">
        <w:rPr>
          <w:i/>
          <w:iCs/>
          <w:noProof/>
        </w:rPr>
        <w:t>Journal of IslamicEconomics and Business</w:t>
      </w:r>
      <w:r w:rsidRPr="000F47F9">
        <w:rPr>
          <w:noProof/>
        </w:rPr>
        <w:t xml:space="preserve">, </w:t>
      </w:r>
      <w:r w:rsidRPr="000F47F9">
        <w:rPr>
          <w:i/>
          <w:iCs/>
          <w:noProof/>
        </w:rPr>
        <w:t>1</w:t>
      </w:r>
      <w:r w:rsidRPr="000F47F9">
        <w:rPr>
          <w:noProof/>
        </w:rPr>
        <w:t>(April), 66–78.</w:t>
      </w:r>
    </w:p>
    <w:p w:rsidR="002B11B1" w:rsidRPr="002B11B1" w:rsidRDefault="002B11B1" w:rsidP="004A0FE2">
      <w:pPr>
        <w:widowControl w:val="0"/>
        <w:autoSpaceDE w:val="0"/>
        <w:autoSpaceDN w:val="0"/>
        <w:adjustRightInd w:val="0"/>
        <w:spacing w:after="80"/>
        <w:ind w:left="709" w:hanging="709"/>
        <w:jc w:val="both"/>
        <w:rPr>
          <w:rFonts w:asciiTheme="majorBidi" w:hAnsiTheme="majorBidi" w:cstheme="majorBidi"/>
          <w:noProof/>
        </w:rPr>
      </w:pPr>
      <w:r w:rsidRPr="002B11B1">
        <w:rPr>
          <w:rFonts w:asciiTheme="majorBidi" w:hAnsiTheme="majorBidi" w:cstheme="majorBidi"/>
          <w:color w:val="222222"/>
          <w:shd w:val="clear" w:color="auto" w:fill="FFFFFF"/>
        </w:rPr>
        <w:t>Hendrianto, H., &amp; Yakin, I. A. (2023). The Diversity of Contemporary Islamic Economic Thoughts of Schools: Baqir As-Sadr, Mainstream and Alternative. </w:t>
      </w:r>
      <w:r w:rsidRPr="002B11B1">
        <w:rPr>
          <w:rFonts w:asciiTheme="majorBidi" w:hAnsiTheme="majorBidi" w:cstheme="majorBidi"/>
          <w:i/>
          <w:iCs/>
          <w:color w:val="222222"/>
          <w:shd w:val="clear" w:color="auto" w:fill="FFFFFF"/>
        </w:rPr>
        <w:t>AL-FALAH: Journal of Islamic Economics</w:t>
      </w:r>
      <w:r w:rsidRPr="002B11B1">
        <w:rPr>
          <w:rFonts w:asciiTheme="majorBidi" w:hAnsiTheme="majorBidi" w:cstheme="majorBidi"/>
          <w:color w:val="222222"/>
          <w:shd w:val="clear" w:color="auto" w:fill="FFFFFF"/>
        </w:rPr>
        <w:t>, </w:t>
      </w:r>
      <w:r w:rsidRPr="002B11B1">
        <w:rPr>
          <w:rFonts w:asciiTheme="majorBidi" w:hAnsiTheme="majorBidi" w:cstheme="majorBidi"/>
          <w:i/>
          <w:iCs/>
          <w:color w:val="222222"/>
          <w:shd w:val="clear" w:color="auto" w:fill="FFFFFF"/>
        </w:rPr>
        <w:t>8</w:t>
      </w:r>
      <w:r w:rsidRPr="002B11B1">
        <w:rPr>
          <w:rFonts w:asciiTheme="majorBidi" w:hAnsiTheme="majorBidi" w:cstheme="majorBidi"/>
          <w:color w:val="222222"/>
          <w:shd w:val="clear" w:color="auto" w:fill="FFFFFF"/>
        </w:rPr>
        <w:t>(1), 83-96.</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Huda, N., &amp; Nasution, M. E. (2007). </w:t>
      </w:r>
      <w:r w:rsidRPr="000F47F9">
        <w:rPr>
          <w:i/>
          <w:iCs/>
          <w:noProof/>
        </w:rPr>
        <w:t>Investasi Pada Pasar Modal Syariah</w:t>
      </w:r>
      <w:r w:rsidRPr="000F47F9">
        <w:rPr>
          <w:noProof/>
        </w:rPr>
        <w:t>. Kencana.</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Junaedi, D., &amp; Salistia, F. (2020). Dampak Pandemi COVID-19 Terhadap Pertumbuhan Ekonomi Negara-Negara Terdampak. In </w:t>
      </w:r>
      <w:r w:rsidRPr="000F47F9">
        <w:rPr>
          <w:i/>
          <w:iCs/>
          <w:noProof/>
        </w:rPr>
        <w:t>Simposium Nasional Keuangan Negara</w:t>
      </w:r>
      <w:r w:rsidRPr="000F47F9">
        <w:rPr>
          <w:noProof/>
        </w:rPr>
        <w:t xml:space="preserve"> (pp. 995–1115).</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K, R. S., Manav, S., K, S. R., &amp; J, S. (2017). </w:t>
      </w:r>
      <w:r w:rsidRPr="000F47F9">
        <w:rPr>
          <w:i/>
          <w:iCs/>
          <w:noProof/>
        </w:rPr>
        <w:t>Gold Price Estimation Using A Multi Variable Model</w:t>
      </w:r>
      <w:r w:rsidRPr="000F47F9">
        <w:rPr>
          <w:noProof/>
        </w:rPr>
        <w:t>.</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Mahdiyan, A. (2023, January 25). Perekonomian dunia diprediksi akan dihantam resesi tahun 2023, bagaimana dengan pembangunan infrastruktur? </w:t>
      </w:r>
      <w:r w:rsidRPr="000F47F9">
        <w:rPr>
          <w:i/>
          <w:iCs/>
          <w:noProof/>
        </w:rPr>
        <w:t>KPBU KEMENKEU</w:t>
      </w:r>
      <w:r w:rsidRPr="000F47F9">
        <w:rPr>
          <w:noProof/>
        </w:rPr>
        <w:t>. https://kpbu.kemenkeu.go.id/read/1173-1508/umum/kajian-opini-publik/perekonomian-dunia-diprediksi-akan-dihantam-resesi-tahun-2023-bagaimana-dengan-pembangunan-infrastruktur</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Muhammad, M. M. (2020). Transaksi E-Commerse Dalam Ekonomi Syariah. </w:t>
      </w:r>
      <w:r w:rsidRPr="000F47F9">
        <w:rPr>
          <w:i/>
          <w:iCs/>
          <w:noProof/>
        </w:rPr>
        <w:t>El-Iqthisadi : Jurnal Hukum Ekonomi Syariah Fakultas Syariah Dan Hukum</w:t>
      </w:r>
      <w:r w:rsidRPr="000F47F9">
        <w:rPr>
          <w:noProof/>
        </w:rPr>
        <w:t xml:space="preserve">, </w:t>
      </w:r>
      <w:r w:rsidRPr="000F47F9">
        <w:rPr>
          <w:i/>
          <w:iCs/>
          <w:noProof/>
        </w:rPr>
        <w:t>2</w:t>
      </w:r>
      <w:r w:rsidRPr="000F47F9">
        <w:rPr>
          <w:noProof/>
        </w:rPr>
        <w:t>(1), 76. https://doi.org/10.24252/el-iqthisadi.v2i1.14021</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lastRenderedPageBreak/>
        <w:t xml:space="preserve">Nasution, D. A. D., Erlina, E., &amp; Muda, I. (2020). Dampak Pandemi COVID-19 terhadap Perekonomian Indonesia. </w:t>
      </w:r>
      <w:r w:rsidRPr="000F47F9">
        <w:rPr>
          <w:i/>
          <w:iCs/>
          <w:noProof/>
        </w:rPr>
        <w:t>Jurnal Benefita</w:t>
      </w:r>
      <w:r w:rsidRPr="000F47F9">
        <w:rPr>
          <w:noProof/>
        </w:rPr>
        <w:t xml:space="preserve">, </w:t>
      </w:r>
      <w:r w:rsidRPr="000F47F9">
        <w:rPr>
          <w:i/>
          <w:iCs/>
          <w:noProof/>
        </w:rPr>
        <w:t>5</w:t>
      </w:r>
      <w:r w:rsidRPr="000F47F9">
        <w:rPr>
          <w:noProof/>
        </w:rPr>
        <w:t>(2), 212. https://doi.org/10.22216/jbe.v5i2.5313</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Panda, R., &amp; Sethi, M. (2016). Gold as an Investment Option in India: Myth and Reality. </w:t>
      </w:r>
      <w:r w:rsidRPr="000F47F9">
        <w:rPr>
          <w:i/>
          <w:iCs/>
          <w:noProof/>
        </w:rPr>
        <w:t>Indian Journal of Finance</w:t>
      </w:r>
      <w:r w:rsidRPr="000F47F9">
        <w:rPr>
          <w:noProof/>
        </w:rPr>
        <w:t xml:space="preserve">, </w:t>
      </w:r>
      <w:r w:rsidRPr="000F47F9">
        <w:rPr>
          <w:i/>
          <w:iCs/>
          <w:noProof/>
        </w:rPr>
        <w:t>10</w:t>
      </w:r>
      <w:r w:rsidRPr="000F47F9">
        <w:rPr>
          <w:noProof/>
        </w:rPr>
        <w:t xml:space="preserve">(5). https://ssrn.com/abstract=2878636 </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Pinto, M. J. (2016). An Analysis on Commodity Market with Special Reference to Gold. </w:t>
      </w:r>
      <w:r w:rsidRPr="000F47F9">
        <w:rPr>
          <w:i/>
          <w:iCs/>
          <w:noProof/>
        </w:rPr>
        <w:t>International Journal of Multi-Disciplinary Research</w:t>
      </w:r>
      <w:r w:rsidRPr="000F47F9">
        <w:rPr>
          <w:noProof/>
        </w:rPr>
        <w:t xml:space="preserve">, </w:t>
      </w:r>
      <w:r w:rsidRPr="000F47F9">
        <w:rPr>
          <w:i/>
          <w:iCs/>
          <w:noProof/>
        </w:rPr>
        <w:t>1</w:t>
      </w:r>
      <w:r w:rsidRPr="000F47F9">
        <w:rPr>
          <w:noProof/>
        </w:rPr>
        <w:t>(1), 1–8.</w:t>
      </w:r>
    </w:p>
    <w:p w:rsidR="004A0FE2" w:rsidRDefault="004A0FE2" w:rsidP="004A0FE2">
      <w:pPr>
        <w:widowControl w:val="0"/>
        <w:autoSpaceDE w:val="0"/>
        <w:autoSpaceDN w:val="0"/>
        <w:adjustRightInd w:val="0"/>
        <w:spacing w:after="80"/>
        <w:ind w:left="709" w:hanging="709"/>
        <w:jc w:val="both"/>
        <w:rPr>
          <w:noProof/>
        </w:rPr>
      </w:pPr>
      <w:r w:rsidRPr="000F47F9">
        <w:rPr>
          <w:noProof/>
        </w:rPr>
        <w:t xml:space="preserve">Rafika, N. A. A. (2021). </w:t>
      </w:r>
      <w:r w:rsidRPr="000F47F9">
        <w:rPr>
          <w:i/>
          <w:iCs/>
          <w:noProof/>
        </w:rPr>
        <w:t>TINJAUAN HUKUM ISLAM TENTANG INVESTASI EMAS ANEKA TAMBANG (Studi pada Pengguna Aplikasi Tamasia di Bandar Lampung)</w:t>
      </w:r>
      <w:r w:rsidRPr="000F47F9">
        <w:rPr>
          <w:noProof/>
        </w:rPr>
        <w:t>. UNIVERSITAS ISLAM NEGERI RADEN INTAN LAMPUNG.</w:t>
      </w:r>
    </w:p>
    <w:p w:rsidR="008666FA" w:rsidRPr="002B11B1" w:rsidRDefault="008666FA" w:rsidP="004A0FE2">
      <w:pPr>
        <w:widowControl w:val="0"/>
        <w:autoSpaceDE w:val="0"/>
        <w:autoSpaceDN w:val="0"/>
        <w:adjustRightInd w:val="0"/>
        <w:spacing w:after="80"/>
        <w:ind w:left="709" w:hanging="709"/>
        <w:jc w:val="both"/>
        <w:rPr>
          <w:rFonts w:asciiTheme="majorBidi" w:hAnsiTheme="majorBidi" w:cstheme="majorBidi"/>
          <w:noProof/>
        </w:rPr>
      </w:pPr>
      <w:r w:rsidRPr="002B11B1">
        <w:rPr>
          <w:rFonts w:asciiTheme="majorBidi" w:hAnsiTheme="majorBidi" w:cstheme="majorBidi"/>
          <w:color w:val="222222"/>
          <w:shd w:val="clear" w:color="auto" w:fill="FFFFFF"/>
        </w:rPr>
        <w:t>Ranaswijaya, R. (2023). Analysis of Monzer Kahf's Thoughts on the Phenomenon of Consumption in Modern Society. </w:t>
      </w:r>
      <w:r w:rsidRPr="002B11B1">
        <w:rPr>
          <w:rFonts w:asciiTheme="majorBidi" w:hAnsiTheme="majorBidi" w:cstheme="majorBidi"/>
          <w:i/>
          <w:iCs/>
          <w:color w:val="222222"/>
          <w:shd w:val="clear" w:color="auto" w:fill="FFFFFF"/>
        </w:rPr>
        <w:t>AL-FALAH: Journal of Islamic Economics</w:t>
      </w:r>
      <w:r w:rsidRPr="002B11B1">
        <w:rPr>
          <w:rFonts w:asciiTheme="majorBidi" w:hAnsiTheme="majorBidi" w:cstheme="majorBidi"/>
          <w:color w:val="222222"/>
          <w:shd w:val="clear" w:color="auto" w:fill="FFFFFF"/>
        </w:rPr>
        <w:t>, </w:t>
      </w:r>
      <w:r w:rsidRPr="002B11B1">
        <w:rPr>
          <w:rFonts w:asciiTheme="majorBidi" w:hAnsiTheme="majorBidi" w:cstheme="majorBidi"/>
          <w:i/>
          <w:iCs/>
          <w:color w:val="222222"/>
          <w:shd w:val="clear" w:color="auto" w:fill="FFFFFF"/>
        </w:rPr>
        <w:t>8</w:t>
      </w:r>
      <w:r w:rsidRPr="002B11B1">
        <w:rPr>
          <w:rFonts w:asciiTheme="majorBidi" w:hAnsiTheme="majorBidi" w:cstheme="majorBidi"/>
          <w:color w:val="222222"/>
          <w:shd w:val="clear" w:color="auto" w:fill="FFFFFF"/>
        </w:rPr>
        <w:t>(1), 119-132.</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S, K. C., M, S., &amp; S, N. S. (2016). Forecasting Gold Prices Based on Extreme Learning Machine. </w:t>
      </w:r>
      <w:r w:rsidRPr="000F47F9">
        <w:rPr>
          <w:i/>
          <w:iCs/>
          <w:noProof/>
        </w:rPr>
        <w:t>International Journal of Computers, Communications &amp; Control</w:t>
      </w:r>
      <w:r w:rsidRPr="000F47F9">
        <w:rPr>
          <w:noProof/>
        </w:rPr>
        <w:t xml:space="preserve">, </w:t>
      </w:r>
      <w:r w:rsidRPr="000F47F9">
        <w:rPr>
          <w:i/>
          <w:iCs/>
          <w:noProof/>
        </w:rPr>
        <w:t>11</w:t>
      </w:r>
      <w:r w:rsidRPr="000F47F9">
        <w:rPr>
          <w:noProof/>
        </w:rPr>
        <w:t>(3), 372.</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Saubani, A. (2022). PPKM Dicabut, Indonesia Masuki Masa Transisi dari Pandemi ke Endemi. </w:t>
      </w:r>
      <w:r w:rsidRPr="000F47F9">
        <w:rPr>
          <w:i/>
          <w:iCs/>
          <w:noProof/>
        </w:rPr>
        <w:t>Republika.Co.Id</w:t>
      </w:r>
      <w:r w:rsidRPr="000F47F9">
        <w:rPr>
          <w:noProof/>
        </w:rPr>
        <w:t>. https://www.republika.co.id/berita/rnpn7r409/ppkm-dicabut-indonesia-masuki-masa-transisi-dari-pandemi-ke-endemi</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Syukuri Nur, M. (2020). Tinjauan Pustaka Sistematis. </w:t>
      </w:r>
      <w:r w:rsidRPr="000F47F9">
        <w:rPr>
          <w:i/>
          <w:iCs/>
          <w:noProof/>
        </w:rPr>
        <w:t>Tinjauan Pustaka Sistematis</w:t>
      </w:r>
      <w:r w:rsidRPr="000F47F9">
        <w:rPr>
          <w:noProof/>
        </w:rPr>
        <w:t xml:space="preserve">, </w:t>
      </w:r>
      <w:r w:rsidRPr="000F47F9">
        <w:rPr>
          <w:i/>
          <w:iCs/>
          <w:noProof/>
        </w:rPr>
        <w:t>26861089</w:t>
      </w:r>
      <w:r w:rsidRPr="000F47F9">
        <w:rPr>
          <w:noProof/>
        </w:rPr>
        <w:t>(June), ix.</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Tsang, T. K., Wu, P., Lin, Y., Lau, E. H. Y., Leung, G. M., &amp; Cowling, B. J. (2020). Effect of changing case definitions for COVID-19 on the epidemic curve and transmission parameters in mainland China: a modelling study. </w:t>
      </w:r>
      <w:r w:rsidRPr="000F47F9">
        <w:rPr>
          <w:i/>
          <w:iCs/>
          <w:noProof/>
        </w:rPr>
        <w:t>The Lancet Public Health</w:t>
      </w:r>
      <w:r w:rsidRPr="000F47F9">
        <w:rPr>
          <w:noProof/>
        </w:rPr>
        <w:t xml:space="preserve">, </w:t>
      </w:r>
      <w:r w:rsidRPr="000F47F9">
        <w:rPr>
          <w:i/>
          <w:iCs/>
          <w:noProof/>
        </w:rPr>
        <w:t>5</w:t>
      </w:r>
      <w:r w:rsidRPr="000F47F9">
        <w:rPr>
          <w:noProof/>
        </w:rPr>
        <w:t>(5), e289–e296. https://doi.org/10.1016/S2468-2667(20)30089-X</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Udovita, P. V. M. V. D. (2020). Conceptual Review on Dimensions of Digital Transformation in Modern Era. </w:t>
      </w:r>
      <w:r w:rsidRPr="000F47F9">
        <w:rPr>
          <w:i/>
          <w:iCs/>
          <w:noProof/>
        </w:rPr>
        <w:t>International Journal of Scientific and Research Publications (IJSRP)</w:t>
      </w:r>
      <w:r w:rsidRPr="000F47F9">
        <w:rPr>
          <w:noProof/>
        </w:rPr>
        <w:t xml:space="preserve">, </w:t>
      </w:r>
      <w:r w:rsidRPr="000F47F9">
        <w:rPr>
          <w:i/>
          <w:iCs/>
          <w:noProof/>
        </w:rPr>
        <w:t>10</w:t>
      </w:r>
      <w:r w:rsidRPr="000F47F9">
        <w:rPr>
          <w:noProof/>
        </w:rPr>
        <w:t>(2), p9873. https://doi.org/10.29322/ijsrp.10.02.2020.p9873</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World Health Organization. (2023a). </w:t>
      </w:r>
      <w:r w:rsidRPr="000F47F9">
        <w:rPr>
          <w:i/>
          <w:iCs/>
          <w:noProof/>
        </w:rPr>
        <w:t>WHO Coronavirus (COVID-19) Country Overview</w:t>
      </w:r>
      <w:r w:rsidRPr="000F47F9">
        <w:rPr>
          <w:noProof/>
        </w:rPr>
        <w:t>. WHO Official Website. https://covid19.who.int/region/searo/country/id</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World Health Organization. (2023b). </w:t>
      </w:r>
      <w:r w:rsidRPr="000F47F9">
        <w:rPr>
          <w:i/>
          <w:iCs/>
          <w:noProof/>
        </w:rPr>
        <w:t>WHO Coronavirus (COVID-19) Dashboard Overview</w:t>
      </w:r>
      <w:r w:rsidRPr="000F47F9">
        <w:rPr>
          <w:noProof/>
        </w:rPr>
        <w:t xml:space="preserve">. WHO Official Website. </w:t>
      </w:r>
      <w:r w:rsidRPr="000F47F9">
        <w:rPr>
          <w:noProof/>
        </w:rPr>
        <w:lastRenderedPageBreak/>
        <w:t>https://covid19.who.int/</w:t>
      </w:r>
    </w:p>
    <w:p w:rsidR="004A0FE2" w:rsidRPr="000F47F9" w:rsidRDefault="004A0FE2" w:rsidP="004A0FE2">
      <w:pPr>
        <w:widowControl w:val="0"/>
        <w:autoSpaceDE w:val="0"/>
        <w:autoSpaceDN w:val="0"/>
        <w:adjustRightInd w:val="0"/>
        <w:spacing w:after="80"/>
        <w:ind w:left="709" w:hanging="709"/>
        <w:jc w:val="both"/>
        <w:rPr>
          <w:noProof/>
        </w:rPr>
      </w:pPr>
      <w:r w:rsidRPr="000F47F9">
        <w:rPr>
          <w:noProof/>
        </w:rPr>
        <w:t xml:space="preserve">Yarli, D. (2018). Analisis Akad Tijarah Pada Transaksi Fintech Syariah Dengan Pendekatan Maqhasid. </w:t>
      </w:r>
      <w:r w:rsidRPr="000F47F9">
        <w:rPr>
          <w:i/>
          <w:iCs/>
          <w:noProof/>
        </w:rPr>
        <w:t>YUDISIA : Jurnal Pemikiran Hukum Dan Hukum Islam</w:t>
      </w:r>
      <w:r w:rsidRPr="000F47F9">
        <w:rPr>
          <w:noProof/>
        </w:rPr>
        <w:t xml:space="preserve">, </w:t>
      </w:r>
      <w:r w:rsidRPr="000F47F9">
        <w:rPr>
          <w:i/>
          <w:iCs/>
          <w:noProof/>
        </w:rPr>
        <w:t>9</w:t>
      </w:r>
      <w:r w:rsidRPr="000F47F9">
        <w:rPr>
          <w:noProof/>
        </w:rPr>
        <w:t>(2). https://doi.org/10.21043/yudisia.v9i2.4766</w:t>
      </w:r>
    </w:p>
    <w:p w:rsidR="004A0FE2" w:rsidRPr="00694646" w:rsidRDefault="004A0FE2" w:rsidP="004A0FE2">
      <w:pPr>
        <w:rPr>
          <w:rFonts w:ascii="Garamond" w:hAnsi="Garamond"/>
          <w:color w:val="000000"/>
        </w:rPr>
      </w:pPr>
      <w:r>
        <w:fldChar w:fldCharType="end"/>
      </w:r>
    </w:p>
    <w:sectPr w:rsidR="004A0FE2" w:rsidRPr="00694646" w:rsidSect="009E1269">
      <w:footerReference w:type="even" r:id="rId12"/>
      <w:footerReference w:type="default" r:id="rId13"/>
      <w:pgSz w:w="10319" w:h="14572" w:code="13"/>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124" w:rsidRDefault="00BF1124">
      <w:r>
        <w:separator/>
      </w:r>
    </w:p>
  </w:endnote>
  <w:endnote w:type="continuationSeparator" w:id="0">
    <w:p w:rsidR="00BF1124" w:rsidRDefault="00BF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MS Mincho"/>
    <w:panose1 w:val="00000000000000000000"/>
    <w:charset w:val="80"/>
    <w:family w:val="modern"/>
    <w:notTrueType/>
    <w:pitch w:val="fixed"/>
    <w:sig w:usb0="00000001" w:usb1="08070000" w:usb2="00000010" w:usb3="00000000" w:csb0="00020000" w:csb1="00000000"/>
  </w:font>
  <w:font w:name="BatangChe">
    <w:panose1 w:val="00000000000000000000"/>
    <w:charset w:val="81"/>
    <w:family w:val="modern"/>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dvOT4ac4c61e+2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2B" w:rsidRDefault="00B8052B">
    <w:pPr>
      <w:pStyle w:val="Footer"/>
      <w:ind w:right="-864"/>
      <w:jc w:val="right"/>
    </w:pPr>
  </w:p>
  <w:p w:rsidR="004C6B85" w:rsidRDefault="004C6B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28226"/>
      <w:docPartObj>
        <w:docPartGallery w:val="Page Numbers (Bottom of Page)"/>
        <w:docPartUnique/>
      </w:docPartObj>
    </w:sdtPr>
    <w:sdtEndPr>
      <w:rPr>
        <w:noProof/>
      </w:rPr>
    </w:sdtEndPr>
    <w:sdtContent>
      <w:p w:rsidR="002B11B1" w:rsidRDefault="002B11B1">
        <w:pPr>
          <w:pStyle w:val="Footer"/>
          <w:jc w:val="right"/>
        </w:pPr>
        <w:r>
          <w:fldChar w:fldCharType="begin"/>
        </w:r>
        <w:r>
          <w:instrText xml:space="preserve"> PAGE   \* MERGEFORMAT </w:instrText>
        </w:r>
        <w:r>
          <w:fldChar w:fldCharType="separate"/>
        </w:r>
        <w:r w:rsidR="001C5C5F">
          <w:rPr>
            <w:noProof/>
          </w:rPr>
          <w:t>11</w:t>
        </w:r>
        <w:r>
          <w:rPr>
            <w:noProof/>
          </w:rPr>
          <w:fldChar w:fldCharType="end"/>
        </w:r>
      </w:p>
    </w:sdtContent>
  </w:sdt>
  <w:p w:rsidR="00B8052B" w:rsidRDefault="00B80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124" w:rsidRDefault="00BF1124">
      <w:r>
        <w:separator/>
      </w:r>
    </w:p>
  </w:footnote>
  <w:footnote w:type="continuationSeparator" w:id="0">
    <w:p w:rsidR="00BF1124" w:rsidRDefault="00BF1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A1E51FC"/>
    <w:multiLevelType w:val="hybridMultilevel"/>
    <w:tmpl w:val="F7DA2CA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531E19"/>
    <w:multiLevelType w:val="hybridMultilevel"/>
    <w:tmpl w:val="C5165174"/>
    <w:lvl w:ilvl="0" w:tplc="DAB632A0">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861FEF"/>
    <w:multiLevelType w:val="hybridMultilevel"/>
    <w:tmpl w:val="C472CB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A06077"/>
    <w:multiLevelType w:val="hybridMultilevel"/>
    <w:tmpl w:val="1F428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EEE4156"/>
    <w:multiLevelType w:val="hybridMultilevel"/>
    <w:tmpl w:val="3CCA8170"/>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0911795"/>
    <w:multiLevelType w:val="multilevel"/>
    <w:tmpl w:val="AC62AAC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7">
    <w:nsid w:val="28F33AE9"/>
    <w:multiLevelType w:val="hybridMultilevel"/>
    <w:tmpl w:val="91363F9A"/>
    <w:lvl w:ilvl="0" w:tplc="7F52E6E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99777E"/>
    <w:multiLevelType w:val="hybridMultilevel"/>
    <w:tmpl w:val="ECF4F30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4E600D"/>
    <w:multiLevelType w:val="hybridMultilevel"/>
    <w:tmpl w:val="2DF0A9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69A7C56"/>
    <w:multiLevelType w:val="hybridMultilevel"/>
    <w:tmpl w:val="59E8AE2C"/>
    <w:lvl w:ilvl="0" w:tplc="82FA2102">
      <w:start w:val="1"/>
      <w:numFmt w:val="decimal"/>
      <w:pStyle w:val="Reference"/>
      <w:lvlText w:val="[%1] "/>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B0863F2"/>
    <w:multiLevelType w:val="hybridMultilevel"/>
    <w:tmpl w:val="B9940D4E"/>
    <w:lvl w:ilvl="0" w:tplc="C7FCBE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3345DA9"/>
    <w:multiLevelType w:val="hybridMultilevel"/>
    <w:tmpl w:val="6A0A61EC"/>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nsid w:val="48117FDD"/>
    <w:multiLevelType w:val="hybridMultilevel"/>
    <w:tmpl w:val="51D60EF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B27D59"/>
    <w:multiLevelType w:val="hybridMultilevel"/>
    <w:tmpl w:val="5E988894"/>
    <w:lvl w:ilvl="0" w:tplc="4D703B6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3484048"/>
    <w:multiLevelType w:val="hybridMultilevel"/>
    <w:tmpl w:val="845638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537A47B0"/>
    <w:multiLevelType w:val="hybridMultilevel"/>
    <w:tmpl w:val="E1B47B3E"/>
    <w:lvl w:ilvl="0" w:tplc="04090001">
      <w:start w:val="1"/>
      <w:numFmt w:val="bullet"/>
      <w:lvlText w:val=""/>
      <w:lvlJc w:val="left"/>
      <w:pPr>
        <w:ind w:left="70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nsid w:val="54835FC1"/>
    <w:multiLevelType w:val="hybridMultilevel"/>
    <w:tmpl w:val="B83088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CBD764E"/>
    <w:multiLevelType w:val="hybridMultilevel"/>
    <w:tmpl w:val="88C0C3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3B43F01"/>
    <w:multiLevelType w:val="hybridMultilevel"/>
    <w:tmpl w:val="30A0AF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1534C46"/>
    <w:multiLevelType w:val="hybridMultilevel"/>
    <w:tmpl w:val="920C638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446646B"/>
    <w:multiLevelType w:val="hybridMultilevel"/>
    <w:tmpl w:val="34423776"/>
    <w:lvl w:ilvl="0" w:tplc="04090017">
      <w:start w:val="1"/>
      <w:numFmt w:val="lowerLetter"/>
      <w:lvlText w:val="%1)"/>
      <w:lvlJc w:val="left"/>
      <w:pPr>
        <w:ind w:left="1060" w:hanging="360"/>
      </w:pPr>
      <w:rPr>
        <w:rFonts w:cs="Times New Roman"/>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num w:numId="1">
    <w:abstractNumId w:val="20"/>
  </w:num>
  <w:num w:numId="2">
    <w:abstractNumId w:val="7"/>
  </w:num>
  <w:num w:numId="3">
    <w:abstractNumId w:val="2"/>
  </w:num>
  <w:num w:numId="4">
    <w:abstractNumId w:val="8"/>
  </w:num>
  <w:num w:numId="5">
    <w:abstractNumId w:val="3"/>
  </w:num>
  <w:num w:numId="6">
    <w:abstractNumId w:val="11"/>
  </w:num>
  <w:num w:numId="7">
    <w:abstractNumId w:val="9"/>
  </w:num>
  <w:num w:numId="8">
    <w:abstractNumId w:val="17"/>
  </w:num>
  <w:num w:numId="9">
    <w:abstractNumId w:val="5"/>
  </w:num>
  <w:num w:numId="10">
    <w:abstractNumId w:val="1"/>
  </w:num>
  <w:num w:numId="11">
    <w:abstractNumId w:val="14"/>
  </w:num>
  <w:num w:numId="12">
    <w:abstractNumId w:val="18"/>
  </w:num>
  <w:num w:numId="13">
    <w:abstractNumId w:val="19"/>
  </w:num>
  <w:num w:numId="14">
    <w:abstractNumId w:val="6"/>
  </w:num>
  <w:num w:numId="15">
    <w:abstractNumId w:val="4"/>
  </w:num>
  <w:num w:numId="16">
    <w:abstractNumId w:val="15"/>
  </w:num>
  <w:num w:numId="17">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18">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19">
    <w:abstractNumId w:val="21"/>
  </w:num>
  <w:num w:numId="20">
    <w:abstractNumId w:val="12"/>
  </w:num>
  <w:num w:numId="21">
    <w:abstractNumId w:val="16"/>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9"/>
    <w:rsid w:val="00000E7B"/>
    <w:rsid w:val="0001062E"/>
    <w:rsid w:val="00017354"/>
    <w:rsid w:val="000237B4"/>
    <w:rsid w:val="00030A2B"/>
    <w:rsid w:val="00040C72"/>
    <w:rsid w:val="00042219"/>
    <w:rsid w:val="00044087"/>
    <w:rsid w:val="00046873"/>
    <w:rsid w:val="000474BD"/>
    <w:rsid w:val="00055D64"/>
    <w:rsid w:val="00055ECF"/>
    <w:rsid w:val="0006691F"/>
    <w:rsid w:val="00067018"/>
    <w:rsid w:val="00075682"/>
    <w:rsid w:val="00080DEC"/>
    <w:rsid w:val="00096170"/>
    <w:rsid w:val="00096EA0"/>
    <w:rsid w:val="000A6594"/>
    <w:rsid w:val="000B0881"/>
    <w:rsid w:val="000B2CA6"/>
    <w:rsid w:val="000B753F"/>
    <w:rsid w:val="000C047B"/>
    <w:rsid w:val="000C1482"/>
    <w:rsid w:val="000C4518"/>
    <w:rsid w:val="000D7A5A"/>
    <w:rsid w:val="000F47F9"/>
    <w:rsid w:val="00100D47"/>
    <w:rsid w:val="00101F46"/>
    <w:rsid w:val="00102310"/>
    <w:rsid w:val="00102361"/>
    <w:rsid w:val="0011704D"/>
    <w:rsid w:val="00120F27"/>
    <w:rsid w:val="0014340D"/>
    <w:rsid w:val="001447EF"/>
    <w:rsid w:val="0014606C"/>
    <w:rsid w:val="00150615"/>
    <w:rsid w:val="00157C88"/>
    <w:rsid w:val="001608E0"/>
    <w:rsid w:val="0016119E"/>
    <w:rsid w:val="00161E04"/>
    <w:rsid w:val="00163036"/>
    <w:rsid w:val="00180235"/>
    <w:rsid w:val="00192C6E"/>
    <w:rsid w:val="001A5735"/>
    <w:rsid w:val="001B45DC"/>
    <w:rsid w:val="001B74BB"/>
    <w:rsid w:val="001C5C5F"/>
    <w:rsid w:val="001D1F22"/>
    <w:rsid w:val="001D4F3F"/>
    <w:rsid w:val="001D5AD8"/>
    <w:rsid w:val="001D7DF8"/>
    <w:rsid w:val="001E2EA5"/>
    <w:rsid w:val="001F3960"/>
    <w:rsid w:val="001F6C55"/>
    <w:rsid w:val="00205181"/>
    <w:rsid w:val="002108AA"/>
    <w:rsid w:val="00210C90"/>
    <w:rsid w:val="0021745F"/>
    <w:rsid w:val="00220F44"/>
    <w:rsid w:val="0023125A"/>
    <w:rsid w:val="00231A87"/>
    <w:rsid w:val="00231CAF"/>
    <w:rsid w:val="00257675"/>
    <w:rsid w:val="0027036A"/>
    <w:rsid w:val="00270EFA"/>
    <w:rsid w:val="002716C5"/>
    <w:rsid w:val="00273ECF"/>
    <w:rsid w:val="0027766D"/>
    <w:rsid w:val="00277A1D"/>
    <w:rsid w:val="00282B4D"/>
    <w:rsid w:val="00295278"/>
    <w:rsid w:val="002979BD"/>
    <w:rsid w:val="002A0125"/>
    <w:rsid w:val="002A3CE7"/>
    <w:rsid w:val="002B0B77"/>
    <w:rsid w:val="002B11B1"/>
    <w:rsid w:val="002C45E7"/>
    <w:rsid w:val="002D7830"/>
    <w:rsid w:val="002E4FD2"/>
    <w:rsid w:val="002F089E"/>
    <w:rsid w:val="002F6314"/>
    <w:rsid w:val="002F7585"/>
    <w:rsid w:val="003050C7"/>
    <w:rsid w:val="003073F6"/>
    <w:rsid w:val="00313096"/>
    <w:rsid w:val="00314891"/>
    <w:rsid w:val="00320E2A"/>
    <w:rsid w:val="003225C3"/>
    <w:rsid w:val="00327181"/>
    <w:rsid w:val="00332C13"/>
    <w:rsid w:val="00332DAD"/>
    <w:rsid w:val="00341AA5"/>
    <w:rsid w:val="00342F5C"/>
    <w:rsid w:val="00343C02"/>
    <w:rsid w:val="00372250"/>
    <w:rsid w:val="003724B1"/>
    <w:rsid w:val="003732A6"/>
    <w:rsid w:val="0038742F"/>
    <w:rsid w:val="00393A92"/>
    <w:rsid w:val="00395A73"/>
    <w:rsid w:val="0039651B"/>
    <w:rsid w:val="00396DA9"/>
    <w:rsid w:val="003A5332"/>
    <w:rsid w:val="003A5CFF"/>
    <w:rsid w:val="003A66C2"/>
    <w:rsid w:val="003A70A8"/>
    <w:rsid w:val="003B1FAB"/>
    <w:rsid w:val="003C29CC"/>
    <w:rsid w:val="003C683E"/>
    <w:rsid w:val="003D123A"/>
    <w:rsid w:val="003E6D29"/>
    <w:rsid w:val="003E73F9"/>
    <w:rsid w:val="003E78B7"/>
    <w:rsid w:val="003F14D9"/>
    <w:rsid w:val="003F4F39"/>
    <w:rsid w:val="003F5A6C"/>
    <w:rsid w:val="00401834"/>
    <w:rsid w:val="00403551"/>
    <w:rsid w:val="004158F6"/>
    <w:rsid w:val="004252DE"/>
    <w:rsid w:val="004369FE"/>
    <w:rsid w:val="00437A8C"/>
    <w:rsid w:val="00441792"/>
    <w:rsid w:val="00442FA5"/>
    <w:rsid w:val="004434A7"/>
    <w:rsid w:val="00443512"/>
    <w:rsid w:val="00450450"/>
    <w:rsid w:val="00452441"/>
    <w:rsid w:val="00453947"/>
    <w:rsid w:val="00460B63"/>
    <w:rsid w:val="00461B6B"/>
    <w:rsid w:val="00463DBD"/>
    <w:rsid w:val="00465194"/>
    <w:rsid w:val="00465F45"/>
    <w:rsid w:val="00467520"/>
    <w:rsid w:val="00471B25"/>
    <w:rsid w:val="00477254"/>
    <w:rsid w:val="004803BA"/>
    <w:rsid w:val="00481E87"/>
    <w:rsid w:val="004943A8"/>
    <w:rsid w:val="004A0FE2"/>
    <w:rsid w:val="004A59A2"/>
    <w:rsid w:val="004A7AAE"/>
    <w:rsid w:val="004B7482"/>
    <w:rsid w:val="004C49F5"/>
    <w:rsid w:val="004C5ECD"/>
    <w:rsid w:val="004C6B85"/>
    <w:rsid w:val="004D319C"/>
    <w:rsid w:val="004E1B76"/>
    <w:rsid w:val="004E29FD"/>
    <w:rsid w:val="004E3AA0"/>
    <w:rsid w:val="004F48A8"/>
    <w:rsid w:val="0051254C"/>
    <w:rsid w:val="0051451B"/>
    <w:rsid w:val="00525671"/>
    <w:rsid w:val="00542581"/>
    <w:rsid w:val="00544FCE"/>
    <w:rsid w:val="00546E6E"/>
    <w:rsid w:val="00550887"/>
    <w:rsid w:val="00551B67"/>
    <w:rsid w:val="00553A96"/>
    <w:rsid w:val="00553EC4"/>
    <w:rsid w:val="0056086A"/>
    <w:rsid w:val="00561D7E"/>
    <w:rsid w:val="00574C49"/>
    <w:rsid w:val="00580910"/>
    <w:rsid w:val="00584B1A"/>
    <w:rsid w:val="0059618C"/>
    <w:rsid w:val="005D3454"/>
    <w:rsid w:val="005D5EE2"/>
    <w:rsid w:val="005E5018"/>
    <w:rsid w:val="005F4938"/>
    <w:rsid w:val="005F4A2F"/>
    <w:rsid w:val="0060099A"/>
    <w:rsid w:val="006046C7"/>
    <w:rsid w:val="006150B0"/>
    <w:rsid w:val="00621EBC"/>
    <w:rsid w:val="00623361"/>
    <w:rsid w:val="006370EC"/>
    <w:rsid w:val="006452A8"/>
    <w:rsid w:val="0064587F"/>
    <w:rsid w:val="00652E68"/>
    <w:rsid w:val="00660141"/>
    <w:rsid w:val="00670F21"/>
    <w:rsid w:val="00671869"/>
    <w:rsid w:val="00673CE7"/>
    <w:rsid w:val="006848DC"/>
    <w:rsid w:val="00686F77"/>
    <w:rsid w:val="00692084"/>
    <w:rsid w:val="00692C8F"/>
    <w:rsid w:val="00694646"/>
    <w:rsid w:val="006970AF"/>
    <w:rsid w:val="006A1372"/>
    <w:rsid w:val="006A14C6"/>
    <w:rsid w:val="006A7D1A"/>
    <w:rsid w:val="006B6DCC"/>
    <w:rsid w:val="006C340A"/>
    <w:rsid w:val="006E7F2D"/>
    <w:rsid w:val="006F1A02"/>
    <w:rsid w:val="006F39DC"/>
    <w:rsid w:val="00702A13"/>
    <w:rsid w:val="00727E28"/>
    <w:rsid w:val="00757276"/>
    <w:rsid w:val="0076071B"/>
    <w:rsid w:val="007719F0"/>
    <w:rsid w:val="00784311"/>
    <w:rsid w:val="0079491C"/>
    <w:rsid w:val="00794CA4"/>
    <w:rsid w:val="007A3610"/>
    <w:rsid w:val="007B1546"/>
    <w:rsid w:val="007B3BEF"/>
    <w:rsid w:val="007C4841"/>
    <w:rsid w:val="008065BB"/>
    <w:rsid w:val="0081298E"/>
    <w:rsid w:val="00821D71"/>
    <w:rsid w:val="00823455"/>
    <w:rsid w:val="00826A5D"/>
    <w:rsid w:val="00841290"/>
    <w:rsid w:val="008424C5"/>
    <w:rsid w:val="00844648"/>
    <w:rsid w:val="00844EF9"/>
    <w:rsid w:val="00846CE4"/>
    <w:rsid w:val="00851012"/>
    <w:rsid w:val="00860940"/>
    <w:rsid w:val="008666FA"/>
    <w:rsid w:val="00866723"/>
    <w:rsid w:val="0087063B"/>
    <w:rsid w:val="00875B87"/>
    <w:rsid w:val="008823F1"/>
    <w:rsid w:val="0088455C"/>
    <w:rsid w:val="008A0ED8"/>
    <w:rsid w:val="008A309B"/>
    <w:rsid w:val="008A72D4"/>
    <w:rsid w:val="008C59DD"/>
    <w:rsid w:val="008D0E54"/>
    <w:rsid w:val="008D6267"/>
    <w:rsid w:val="008E02DC"/>
    <w:rsid w:val="008E7209"/>
    <w:rsid w:val="008E788C"/>
    <w:rsid w:val="008E7BD2"/>
    <w:rsid w:val="008F52FB"/>
    <w:rsid w:val="00901DC6"/>
    <w:rsid w:val="00904DCE"/>
    <w:rsid w:val="009105BB"/>
    <w:rsid w:val="00913349"/>
    <w:rsid w:val="0091632E"/>
    <w:rsid w:val="00930698"/>
    <w:rsid w:val="00932447"/>
    <w:rsid w:val="00932840"/>
    <w:rsid w:val="009355F4"/>
    <w:rsid w:val="0093589A"/>
    <w:rsid w:val="009376D5"/>
    <w:rsid w:val="00937769"/>
    <w:rsid w:val="0094318F"/>
    <w:rsid w:val="009438C4"/>
    <w:rsid w:val="009541C7"/>
    <w:rsid w:val="00956D5F"/>
    <w:rsid w:val="0096062B"/>
    <w:rsid w:val="0096132D"/>
    <w:rsid w:val="00965547"/>
    <w:rsid w:val="00965E9F"/>
    <w:rsid w:val="00986994"/>
    <w:rsid w:val="0099697F"/>
    <w:rsid w:val="009A0105"/>
    <w:rsid w:val="009A2228"/>
    <w:rsid w:val="009A36F6"/>
    <w:rsid w:val="009B08DC"/>
    <w:rsid w:val="009B0EE3"/>
    <w:rsid w:val="009C0E98"/>
    <w:rsid w:val="009D2226"/>
    <w:rsid w:val="009D6802"/>
    <w:rsid w:val="009D7E24"/>
    <w:rsid w:val="009E0B33"/>
    <w:rsid w:val="009E1269"/>
    <w:rsid w:val="009E1FD7"/>
    <w:rsid w:val="009F2CD5"/>
    <w:rsid w:val="009F34B4"/>
    <w:rsid w:val="009F53DF"/>
    <w:rsid w:val="009F78D3"/>
    <w:rsid w:val="00A01C21"/>
    <w:rsid w:val="00A10855"/>
    <w:rsid w:val="00A214F0"/>
    <w:rsid w:val="00A21936"/>
    <w:rsid w:val="00A252CB"/>
    <w:rsid w:val="00A3485B"/>
    <w:rsid w:val="00A35EA9"/>
    <w:rsid w:val="00A41E84"/>
    <w:rsid w:val="00A4466A"/>
    <w:rsid w:val="00A5080C"/>
    <w:rsid w:val="00A527AF"/>
    <w:rsid w:val="00A56E29"/>
    <w:rsid w:val="00A725F6"/>
    <w:rsid w:val="00A72D9B"/>
    <w:rsid w:val="00A766CC"/>
    <w:rsid w:val="00A80C5D"/>
    <w:rsid w:val="00A95C81"/>
    <w:rsid w:val="00A95DE8"/>
    <w:rsid w:val="00AA07FE"/>
    <w:rsid w:val="00AA3000"/>
    <w:rsid w:val="00AD000E"/>
    <w:rsid w:val="00AD7028"/>
    <w:rsid w:val="00AE2F33"/>
    <w:rsid w:val="00AF0C01"/>
    <w:rsid w:val="00AF2241"/>
    <w:rsid w:val="00AF5779"/>
    <w:rsid w:val="00B01701"/>
    <w:rsid w:val="00B03158"/>
    <w:rsid w:val="00B05FB7"/>
    <w:rsid w:val="00B234B7"/>
    <w:rsid w:val="00B33759"/>
    <w:rsid w:val="00B43068"/>
    <w:rsid w:val="00B44A85"/>
    <w:rsid w:val="00B559FB"/>
    <w:rsid w:val="00B57D6F"/>
    <w:rsid w:val="00B62649"/>
    <w:rsid w:val="00B74757"/>
    <w:rsid w:val="00B8052B"/>
    <w:rsid w:val="00B83C21"/>
    <w:rsid w:val="00B9419A"/>
    <w:rsid w:val="00BA2966"/>
    <w:rsid w:val="00BA42BA"/>
    <w:rsid w:val="00BC178B"/>
    <w:rsid w:val="00BC5F00"/>
    <w:rsid w:val="00BD25D7"/>
    <w:rsid w:val="00BD3029"/>
    <w:rsid w:val="00BE026B"/>
    <w:rsid w:val="00BE3458"/>
    <w:rsid w:val="00BE459A"/>
    <w:rsid w:val="00BE7514"/>
    <w:rsid w:val="00BF1124"/>
    <w:rsid w:val="00BF15D1"/>
    <w:rsid w:val="00BF2173"/>
    <w:rsid w:val="00BF4BB2"/>
    <w:rsid w:val="00BF5926"/>
    <w:rsid w:val="00BF6250"/>
    <w:rsid w:val="00C00BD2"/>
    <w:rsid w:val="00C010A4"/>
    <w:rsid w:val="00C01C13"/>
    <w:rsid w:val="00C03A31"/>
    <w:rsid w:val="00C07EE3"/>
    <w:rsid w:val="00C30018"/>
    <w:rsid w:val="00C360FB"/>
    <w:rsid w:val="00C3626A"/>
    <w:rsid w:val="00C4431C"/>
    <w:rsid w:val="00C47DBD"/>
    <w:rsid w:val="00C51E33"/>
    <w:rsid w:val="00C5548C"/>
    <w:rsid w:val="00C60217"/>
    <w:rsid w:val="00C65D30"/>
    <w:rsid w:val="00C7361B"/>
    <w:rsid w:val="00C77BA0"/>
    <w:rsid w:val="00C86362"/>
    <w:rsid w:val="00C901CE"/>
    <w:rsid w:val="00C93F80"/>
    <w:rsid w:val="00C96D3B"/>
    <w:rsid w:val="00CB32E7"/>
    <w:rsid w:val="00CC3516"/>
    <w:rsid w:val="00CD0C5C"/>
    <w:rsid w:val="00CD34A9"/>
    <w:rsid w:val="00CD7A6D"/>
    <w:rsid w:val="00CF40B2"/>
    <w:rsid w:val="00CF4D95"/>
    <w:rsid w:val="00D00912"/>
    <w:rsid w:val="00D32285"/>
    <w:rsid w:val="00D37220"/>
    <w:rsid w:val="00D44DCF"/>
    <w:rsid w:val="00D51AE6"/>
    <w:rsid w:val="00D6037F"/>
    <w:rsid w:val="00D60682"/>
    <w:rsid w:val="00D65CA8"/>
    <w:rsid w:val="00D86465"/>
    <w:rsid w:val="00D9046E"/>
    <w:rsid w:val="00D938CF"/>
    <w:rsid w:val="00DA0660"/>
    <w:rsid w:val="00DA3A3C"/>
    <w:rsid w:val="00DA3AF5"/>
    <w:rsid w:val="00DB2C84"/>
    <w:rsid w:val="00DB7716"/>
    <w:rsid w:val="00DB7F5B"/>
    <w:rsid w:val="00DC0867"/>
    <w:rsid w:val="00DC7441"/>
    <w:rsid w:val="00DE15C6"/>
    <w:rsid w:val="00DE1EBE"/>
    <w:rsid w:val="00DF1E86"/>
    <w:rsid w:val="00E10A97"/>
    <w:rsid w:val="00E20BEE"/>
    <w:rsid w:val="00E26F68"/>
    <w:rsid w:val="00E678F1"/>
    <w:rsid w:val="00E67DDA"/>
    <w:rsid w:val="00E74530"/>
    <w:rsid w:val="00E9529C"/>
    <w:rsid w:val="00E95C50"/>
    <w:rsid w:val="00E95C9C"/>
    <w:rsid w:val="00EA4E0D"/>
    <w:rsid w:val="00EB6453"/>
    <w:rsid w:val="00EC6D35"/>
    <w:rsid w:val="00EC709B"/>
    <w:rsid w:val="00EE3815"/>
    <w:rsid w:val="00EF4FD8"/>
    <w:rsid w:val="00EF67BA"/>
    <w:rsid w:val="00EF7A44"/>
    <w:rsid w:val="00F00273"/>
    <w:rsid w:val="00F04BCE"/>
    <w:rsid w:val="00F15012"/>
    <w:rsid w:val="00F20883"/>
    <w:rsid w:val="00F23E2B"/>
    <w:rsid w:val="00F342D1"/>
    <w:rsid w:val="00F40C02"/>
    <w:rsid w:val="00F40EAC"/>
    <w:rsid w:val="00F4258D"/>
    <w:rsid w:val="00F44C48"/>
    <w:rsid w:val="00F60CF0"/>
    <w:rsid w:val="00F83AD0"/>
    <w:rsid w:val="00F857C4"/>
    <w:rsid w:val="00F939E1"/>
    <w:rsid w:val="00F961F8"/>
    <w:rsid w:val="00FA51D1"/>
    <w:rsid w:val="00FB1003"/>
    <w:rsid w:val="00FE2D89"/>
    <w:rsid w:val="00FE322F"/>
    <w:rsid w:val="00FE49ED"/>
    <w:rsid w:val="00FE70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HTML Preformatted"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65"/>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b/>
      <w:bCs/>
    </w:rPr>
  </w:style>
  <w:style w:type="paragraph" w:styleId="Heading2">
    <w:name w:val="heading 2"/>
    <w:basedOn w:val="Normal"/>
    <w:next w:val="Normal"/>
    <w:link w:val="Heading2Char"/>
    <w:uiPriority w:val="9"/>
    <w:qFormat/>
    <w:rsid w:val="00D86465"/>
    <w:pPr>
      <w:keepNext/>
      <w:outlineLvl w:val="1"/>
    </w:pPr>
    <w:rPr>
      <w:b/>
      <w:bCs/>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D86465"/>
    <w:pPr>
      <w:spacing w:line="360" w:lineRule="auto"/>
      <w:jc w:val="both"/>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b/>
      <w:bCs/>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Footer">
    <w:name w:val="footer"/>
    <w:basedOn w:val="Normal"/>
    <w:link w:val="FooterChar"/>
    <w:uiPriority w:val="99"/>
    <w:rsid w:val="00D86465"/>
    <w:pPr>
      <w:tabs>
        <w:tab w:val="center" w:pos="4153"/>
        <w:tab w:val="right" w:pos="8306"/>
      </w:tabs>
    </w:pPr>
  </w:style>
  <w:style w:type="character" w:customStyle="1" w:styleId="FooterChar">
    <w:name w:val="Footer Char"/>
    <w:basedOn w:val="DefaultParagraphFont"/>
    <w:link w:val="Footer"/>
    <w:uiPriority w:val="99"/>
    <w:locked/>
    <w:rsid w:val="004C6B85"/>
    <w:rPr>
      <w:rFonts w:cs="Times New Roman"/>
      <w:sz w:val="24"/>
      <w:szCs w:val="24"/>
    </w:rPr>
  </w:style>
  <w:style w:type="character" w:styleId="PageNumber">
    <w:name w:val="page number"/>
    <w:basedOn w:val="DefaultParagraphFont"/>
    <w:uiPriority w:val="99"/>
    <w:rsid w:val="00D86465"/>
    <w:rPr>
      <w:rFonts w:cs="Times New Roman"/>
    </w:rPr>
  </w:style>
  <w:style w:type="paragraph" w:styleId="FootnoteText">
    <w:name w:val="footnote text"/>
    <w:basedOn w:val="Normal"/>
    <w:link w:val="FootnoteTextChar"/>
    <w:uiPriority w:val="99"/>
    <w:rsid w:val="00D86465"/>
    <w:rPr>
      <w:sz w:val="20"/>
      <w:szCs w:val="20"/>
    </w:rPr>
  </w:style>
  <w:style w:type="character" w:customStyle="1" w:styleId="FootnoteTextChar">
    <w:name w:val="Footnote Text Char"/>
    <w:basedOn w:val="DefaultParagraphFont"/>
    <w:link w:val="FootnoteText"/>
    <w:uiPriority w:val="99"/>
    <w:locked/>
    <w:rsid w:val="003C29CC"/>
    <w:rPr>
      <w:rFonts w:cs="Times New Roman"/>
    </w:rPr>
  </w:style>
  <w:style w:type="character" w:styleId="FootnoteReference">
    <w:name w:val="footnote reference"/>
    <w:basedOn w:val="DefaultParagraphFont"/>
    <w:uiPriority w:val="99"/>
    <w:semiHidden/>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rFonts w:ascii="Courier New" w:hAnsi="Courier New" w:cs="Courier New"/>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Emphasis">
    <w:name w:val="Emphasis"/>
    <w:basedOn w:val="DefaultParagraphFont"/>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E2D89"/>
    <w:rPr>
      <w:rFonts w:ascii="Courier New" w:hAnsi="Courier New" w:cs="Courier New"/>
    </w:rPr>
  </w:style>
  <w:style w:type="character" w:customStyle="1" w:styleId="gi">
    <w:name w:val="gi"/>
    <w:basedOn w:val="DefaultParagraphFont"/>
    <w:rsid w:val="00BD25D7"/>
    <w:rPr>
      <w:rFonts w:cs="Times New Roman"/>
    </w:rPr>
  </w:style>
  <w:style w:type="character" w:styleId="CommentReference">
    <w:name w:val="annotation reference"/>
    <w:basedOn w:val="DefaultParagraphFont"/>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rPr>
  </w:style>
  <w:style w:type="character" w:customStyle="1" w:styleId="CommentTextChar">
    <w:name w:val="Comment Text Char"/>
    <w:basedOn w:val="DefaultParagraphFont"/>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basedOn w:val="CommentText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cs="Tahoma"/>
      <w:sz w:val="16"/>
      <w:szCs w:val="16"/>
    </w:rPr>
  </w:style>
  <w:style w:type="character" w:customStyle="1" w:styleId="BalloonTextChar">
    <w:name w:val="Balloon Text Char"/>
    <w:basedOn w:val="DefaultParagraphFont"/>
    <w:link w:val="BalloonText"/>
    <w:uiPriority w:val="99"/>
    <w:locked/>
    <w:rsid w:val="003F14D9"/>
    <w:rPr>
      <w:rFonts w:ascii="Tahoma" w:hAnsi="Tahoma" w:cs="Tahoma"/>
      <w:sz w:val="16"/>
      <w:szCs w:val="16"/>
    </w:rPr>
  </w:style>
  <w:style w:type="paragraph" w:styleId="ListParagraph">
    <w:name w:val="List Paragraph"/>
    <w:basedOn w:val="Normal"/>
    <w:uiPriority w:val="34"/>
    <w:qFormat/>
    <w:rsid w:val="00EE3815"/>
    <w:pPr>
      <w:ind w:left="720"/>
      <w:contextualSpacing/>
    </w:pPr>
  </w:style>
  <w:style w:type="table" w:styleId="TableGrid">
    <w:name w:val="Table Grid"/>
    <w:basedOn w:val="TableNormal"/>
    <w:uiPriority w:val="59"/>
    <w:rsid w:val="00B941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basedOn w:val="DefaultParagraphFont"/>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Cs w:val="22"/>
      <w:lang w:val="id-ID"/>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cs="Arial"/>
      <w:sz w:val="16"/>
      <w:szCs w:val="16"/>
    </w:rPr>
  </w:style>
  <w:style w:type="character" w:customStyle="1" w:styleId="DocumentMapChar">
    <w:name w:val="Document Map Char"/>
    <w:basedOn w:val="DefaultParagraphFont"/>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A01C21"/>
    <w:pPr>
      <w:widowControl w:val="0"/>
      <w:autoSpaceDE w:val="0"/>
      <w:autoSpaceDN w:val="0"/>
      <w:adjustRightInd w:val="0"/>
      <w:spacing w:line="360" w:lineRule="auto"/>
      <w:jc w:val="center"/>
      <w:textAlignment w:val="baseline"/>
    </w:pPr>
    <w:rPr>
      <w:rFonts w:eastAsia="BatangChe"/>
      <w:b/>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F4258D"/>
    <w:pPr>
      <w:widowControl w:val="0"/>
      <w:numPr>
        <w:numId w:val="23"/>
      </w:numPr>
      <w:autoSpaceDE w:val="0"/>
      <w:autoSpaceDN w:val="0"/>
      <w:adjustRightInd w:val="0"/>
      <w:spacing w:before="60" w:line="360" w:lineRule="auto"/>
      <w:ind w:left="360"/>
      <w:jc w:val="both"/>
      <w:textAlignment w:val="baseline"/>
    </w:pPr>
    <w:rPr>
      <w:rFonts w:eastAsia="BatangChe"/>
      <w:szCs w:val="20"/>
      <w:lang w:eastAsia="ko-KR"/>
    </w:rPr>
  </w:style>
  <w:style w:type="character" w:customStyle="1" w:styleId="Style4">
    <w:name w:val="Style4"/>
    <w:uiPriority w:val="1"/>
    <w:rsid w:val="00231CAF"/>
    <w:rPr>
      <w:rFonts w:ascii="Tahoma" w:hAnsi="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HTML Preformatted"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65"/>
    <w:rPr>
      <w:sz w:val="24"/>
      <w:szCs w:val="24"/>
    </w:rPr>
  </w:style>
  <w:style w:type="paragraph" w:styleId="Heading1">
    <w:name w:val="heading 1"/>
    <w:basedOn w:val="Normal"/>
    <w:next w:val="Normal"/>
    <w:link w:val="Heading1Char"/>
    <w:uiPriority w:val="9"/>
    <w:qFormat/>
    <w:rsid w:val="00D86465"/>
    <w:pPr>
      <w:keepNext/>
      <w:spacing w:line="360" w:lineRule="auto"/>
      <w:jc w:val="both"/>
      <w:outlineLvl w:val="0"/>
    </w:pPr>
    <w:rPr>
      <w:b/>
      <w:bCs/>
    </w:rPr>
  </w:style>
  <w:style w:type="paragraph" w:styleId="Heading2">
    <w:name w:val="heading 2"/>
    <w:basedOn w:val="Normal"/>
    <w:next w:val="Normal"/>
    <w:link w:val="Heading2Char"/>
    <w:uiPriority w:val="9"/>
    <w:qFormat/>
    <w:rsid w:val="00D86465"/>
    <w:pPr>
      <w:keepNext/>
      <w:outlineLvl w:val="1"/>
    </w:pPr>
    <w:rPr>
      <w:b/>
      <w:bCs/>
    </w:rPr>
  </w:style>
  <w:style w:type="paragraph" w:styleId="Heading3">
    <w:name w:val="heading 3"/>
    <w:basedOn w:val="Normal"/>
    <w:next w:val="Normal"/>
    <w:link w:val="Heading3Char"/>
    <w:uiPriority w:val="9"/>
    <w:qFormat/>
    <w:rsid w:val="00D86465"/>
    <w:pPr>
      <w:keepNext/>
      <w:spacing w:line="360" w:lineRule="auto"/>
      <w:jc w:val="center"/>
      <w:outlineLvl w:val="2"/>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D86465"/>
    <w:pPr>
      <w:spacing w:line="360" w:lineRule="auto"/>
      <w:jc w:val="both"/>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Title">
    <w:name w:val="Title"/>
    <w:basedOn w:val="Normal"/>
    <w:link w:val="TitleChar"/>
    <w:uiPriority w:val="10"/>
    <w:qFormat/>
    <w:rsid w:val="00D86465"/>
    <w:pPr>
      <w:jc w:val="center"/>
    </w:pPr>
    <w:rPr>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11"/>
    <w:qFormat/>
    <w:rsid w:val="00D86465"/>
    <w:pPr>
      <w:spacing w:line="360" w:lineRule="auto"/>
      <w:jc w:val="both"/>
    </w:pPr>
    <w:rPr>
      <w:b/>
      <w:bCs/>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Footer">
    <w:name w:val="footer"/>
    <w:basedOn w:val="Normal"/>
    <w:link w:val="FooterChar"/>
    <w:uiPriority w:val="99"/>
    <w:rsid w:val="00D86465"/>
    <w:pPr>
      <w:tabs>
        <w:tab w:val="center" w:pos="4153"/>
        <w:tab w:val="right" w:pos="8306"/>
      </w:tabs>
    </w:pPr>
  </w:style>
  <w:style w:type="character" w:customStyle="1" w:styleId="FooterChar">
    <w:name w:val="Footer Char"/>
    <w:basedOn w:val="DefaultParagraphFont"/>
    <w:link w:val="Footer"/>
    <w:uiPriority w:val="99"/>
    <w:locked/>
    <w:rsid w:val="004C6B85"/>
    <w:rPr>
      <w:rFonts w:cs="Times New Roman"/>
      <w:sz w:val="24"/>
      <w:szCs w:val="24"/>
    </w:rPr>
  </w:style>
  <w:style w:type="character" w:styleId="PageNumber">
    <w:name w:val="page number"/>
    <w:basedOn w:val="DefaultParagraphFont"/>
    <w:uiPriority w:val="99"/>
    <w:rsid w:val="00D86465"/>
    <w:rPr>
      <w:rFonts w:cs="Times New Roman"/>
    </w:rPr>
  </w:style>
  <w:style w:type="paragraph" w:styleId="FootnoteText">
    <w:name w:val="footnote text"/>
    <w:basedOn w:val="Normal"/>
    <w:link w:val="FootnoteTextChar"/>
    <w:uiPriority w:val="99"/>
    <w:rsid w:val="00D86465"/>
    <w:rPr>
      <w:sz w:val="20"/>
      <w:szCs w:val="20"/>
    </w:rPr>
  </w:style>
  <w:style w:type="character" w:customStyle="1" w:styleId="FootnoteTextChar">
    <w:name w:val="Footnote Text Char"/>
    <w:basedOn w:val="DefaultParagraphFont"/>
    <w:link w:val="FootnoteText"/>
    <w:uiPriority w:val="99"/>
    <w:locked/>
    <w:rsid w:val="003C29CC"/>
    <w:rPr>
      <w:rFonts w:cs="Times New Roman"/>
    </w:rPr>
  </w:style>
  <w:style w:type="character" w:styleId="FootnoteReference">
    <w:name w:val="footnote reference"/>
    <w:basedOn w:val="DefaultParagraphFont"/>
    <w:uiPriority w:val="99"/>
    <w:semiHidden/>
    <w:rsid w:val="00D86465"/>
    <w:rPr>
      <w:rFonts w:cs="Times New Roman"/>
      <w:vertAlign w:val="superscript"/>
    </w:rPr>
  </w:style>
  <w:style w:type="paragraph" w:styleId="BodyTextIndent">
    <w:name w:val="Body Text Indent"/>
    <w:basedOn w:val="Normal"/>
    <w:link w:val="BodyTextIndentChar"/>
    <w:uiPriority w:val="99"/>
    <w:rsid w:val="00D86465"/>
    <w:pPr>
      <w:ind w:left="935" w:hanging="935"/>
      <w:jc w:val="both"/>
    </w:pPr>
    <w:rPr>
      <w:rFonts w:ascii="Courier New" w:hAnsi="Courier New" w:cs="Courier New"/>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Header">
    <w:name w:val="header"/>
    <w:basedOn w:val="Normal"/>
    <w:link w:val="HeaderChar"/>
    <w:uiPriority w:val="99"/>
    <w:rsid w:val="00D86465"/>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Emphasis">
    <w:name w:val="Emphasis"/>
    <w:basedOn w:val="DefaultParagraphFont"/>
    <w:uiPriority w:val="20"/>
    <w:qFormat/>
    <w:rsid w:val="00C30018"/>
    <w:rPr>
      <w:rFonts w:cs="Times New Roman"/>
      <w:i/>
      <w:iCs/>
    </w:rPr>
  </w:style>
  <w:style w:type="paragraph" w:styleId="HTMLPreformatted">
    <w:name w:val="HTML Preformatted"/>
    <w:basedOn w:val="Normal"/>
    <w:link w:val="HTMLPreformattedChar"/>
    <w:uiPriority w:val="99"/>
    <w:unhideWhenUsed/>
    <w:rsid w:val="00FE2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E2D89"/>
    <w:rPr>
      <w:rFonts w:ascii="Courier New" w:hAnsi="Courier New" w:cs="Courier New"/>
    </w:rPr>
  </w:style>
  <w:style w:type="character" w:customStyle="1" w:styleId="gi">
    <w:name w:val="gi"/>
    <w:basedOn w:val="DefaultParagraphFont"/>
    <w:rsid w:val="00BD25D7"/>
    <w:rPr>
      <w:rFonts w:cs="Times New Roman"/>
    </w:rPr>
  </w:style>
  <w:style w:type="character" w:styleId="CommentReference">
    <w:name w:val="annotation reference"/>
    <w:basedOn w:val="DefaultParagraphFont"/>
    <w:uiPriority w:val="99"/>
    <w:rsid w:val="003F14D9"/>
    <w:rPr>
      <w:rFonts w:cs="Times New Roman"/>
      <w:sz w:val="16"/>
      <w:szCs w:val="16"/>
    </w:rPr>
  </w:style>
  <w:style w:type="paragraph" w:styleId="CommentText">
    <w:name w:val="annotation text"/>
    <w:basedOn w:val="Normal"/>
    <w:link w:val="CommentTextChar"/>
    <w:uiPriority w:val="99"/>
    <w:rsid w:val="003F14D9"/>
    <w:rPr>
      <w:sz w:val="20"/>
      <w:szCs w:val="20"/>
    </w:rPr>
  </w:style>
  <w:style w:type="character" w:customStyle="1" w:styleId="CommentTextChar">
    <w:name w:val="Comment Text Char"/>
    <w:basedOn w:val="DefaultParagraphFont"/>
    <w:link w:val="CommentText"/>
    <w:uiPriority w:val="99"/>
    <w:locked/>
    <w:rsid w:val="003F14D9"/>
    <w:rPr>
      <w:rFonts w:cs="Times New Roman"/>
    </w:rPr>
  </w:style>
  <w:style w:type="paragraph" w:styleId="CommentSubject">
    <w:name w:val="annotation subject"/>
    <w:basedOn w:val="CommentText"/>
    <w:next w:val="CommentText"/>
    <w:link w:val="CommentSubjectChar"/>
    <w:uiPriority w:val="99"/>
    <w:rsid w:val="003F14D9"/>
    <w:rPr>
      <w:b/>
      <w:bCs/>
    </w:rPr>
  </w:style>
  <w:style w:type="character" w:customStyle="1" w:styleId="CommentSubjectChar">
    <w:name w:val="Comment Subject Char"/>
    <w:basedOn w:val="CommentTextChar"/>
    <w:link w:val="CommentSubject"/>
    <w:uiPriority w:val="99"/>
    <w:locked/>
    <w:rsid w:val="003F14D9"/>
    <w:rPr>
      <w:rFonts w:cs="Times New Roman"/>
      <w:b/>
      <w:bCs/>
    </w:rPr>
  </w:style>
  <w:style w:type="paragraph" w:styleId="BalloonText">
    <w:name w:val="Balloon Text"/>
    <w:basedOn w:val="Normal"/>
    <w:link w:val="BalloonTextChar"/>
    <w:uiPriority w:val="99"/>
    <w:rsid w:val="003F14D9"/>
    <w:rPr>
      <w:rFonts w:ascii="Tahoma" w:hAnsi="Tahoma" w:cs="Tahoma"/>
      <w:sz w:val="16"/>
      <w:szCs w:val="16"/>
    </w:rPr>
  </w:style>
  <w:style w:type="character" w:customStyle="1" w:styleId="BalloonTextChar">
    <w:name w:val="Balloon Text Char"/>
    <w:basedOn w:val="DefaultParagraphFont"/>
    <w:link w:val="BalloonText"/>
    <w:uiPriority w:val="99"/>
    <w:locked/>
    <w:rsid w:val="003F14D9"/>
    <w:rPr>
      <w:rFonts w:ascii="Tahoma" w:hAnsi="Tahoma" w:cs="Tahoma"/>
      <w:sz w:val="16"/>
      <w:szCs w:val="16"/>
    </w:rPr>
  </w:style>
  <w:style w:type="paragraph" w:styleId="ListParagraph">
    <w:name w:val="List Paragraph"/>
    <w:basedOn w:val="Normal"/>
    <w:uiPriority w:val="34"/>
    <w:qFormat/>
    <w:rsid w:val="00EE3815"/>
    <w:pPr>
      <w:ind w:left="720"/>
      <w:contextualSpacing/>
    </w:pPr>
  </w:style>
  <w:style w:type="table" w:styleId="TableGrid">
    <w:name w:val="Table Grid"/>
    <w:basedOn w:val="TableNormal"/>
    <w:uiPriority w:val="59"/>
    <w:rsid w:val="00B941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6E7F2D"/>
    <w:rPr>
      <w:rFonts w:cs="Times New Roman"/>
      <w:color w:val="0000FF"/>
      <w:u w:val="single"/>
    </w:rPr>
  </w:style>
  <w:style w:type="paragraph" w:styleId="Bibliography">
    <w:name w:val="Bibliography"/>
    <w:basedOn w:val="Normal"/>
    <w:next w:val="Normal"/>
    <w:uiPriority w:val="37"/>
    <w:unhideWhenUsed/>
    <w:rsid w:val="00525671"/>
    <w:pPr>
      <w:ind w:left="720" w:hanging="720"/>
    </w:pPr>
  </w:style>
  <w:style w:type="paragraph" w:styleId="NormalWeb">
    <w:name w:val="Normal (Web)"/>
    <w:basedOn w:val="Normal"/>
    <w:uiPriority w:val="99"/>
    <w:unhideWhenUsed/>
    <w:rsid w:val="006C340A"/>
    <w:pPr>
      <w:spacing w:before="100" w:beforeAutospacing="1" w:after="100" w:afterAutospacing="1"/>
    </w:pPr>
  </w:style>
  <w:style w:type="character" w:styleId="EndnoteReference">
    <w:name w:val="endnote reference"/>
    <w:basedOn w:val="DefaultParagraphFont"/>
    <w:uiPriority w:val="99"/>
    <w:semiHidden/>
    <w:unhideWhenUsed/>
    <w:rsid w:val="000A6594"/>
    <w:rPr>
      <w:rFonts w:cs="Times New Roman"/>
      <w:vertAlign w:val="superscript"/>
    </w:rPr>
  </w:style>
  <w:style w:type="paragraph" w:styleId="NoSpacing">
    <w:name w:val="No Spacing"/>
    <w:uiPriority w:val="1"/>
    <w:qFormat/>
    <w:rsid w:val="0094318F"/>
    <w:pPr>
      <w:ind w:left="720"/>
    </w:pPr>
    <w:rPr>
      <w:rFonts w:ascii="Calibri" w:hAnsi="Calibri" w:cs="Arial"/>
      <w:sz w:val="22"/>
      <w:szCs w:val="22"/>
    </w:rPr>
  </w:style>
  <w:style w:type="paragraph" w:customStyle="1" w:styleId="Paragraf">
    <w:name w:val="Paragraf"/>
    <w:basedOn w:val="Normal"/>
    <w:link w:val="ParagrafChar"/>
    <w:qFormat/>
    <w:rsid w:val="002A0125"/>
    <w:pPr>
      <w:ind w:firstLine="567"/>
      <w:jc w:val="both"/>
    </w:pPr>
    <w:rPr>
      <w:rFonts w:eastAsia="MS Minchofalt"/>
      <w:szCs w:val="22"/>
      <w:lang w:val="id-ID"/>
    </w:rPr>
  </w:style>
  <w:style w:type="character" w:customStyle="1" w:styleId="ParagrafChar">
    <w:name w:val="Paragraf Char"/>
    <w:link w:val="Paragraf"/>
    <w:locked/>
    <w:rsid w:val="002A0125"/>
    <w:rPr>
      <w:rFonts w:eastAsia="MS Minchofalt"/>
      <w:sz w:val="22"/>
      <w:lang w:val="id-ID" w:eastAsia="x-none"/>
    </w:rPr>
  </w:style>
  <w:style w:type="paragraph" w:styleId="DocumentMap">
    <w:name w:val="Document Map"/>
    <w:basedOn w:val="Normal"/>
    <w:link w:val="DocumentMapChar"/>
    <w:uiPriority w:val="99"/>
    <w:unhideWhenUsed/>
    <w:rsid w:val="00B8052B"/>
    <w:rPr>
      <w:rFonts w:ascii="Calibri" w:hAnsi="Tahoma" w:cs="Arial"/>
      <w:sz w:val="16"/>
      <w:szCs w:val="16"/>
    </w:rPr>
  </w:style>
  <w:style w:type="character" w:customStyle="1" w:styleId="DocumentMapChar">
    <w:name w:val="Document Map Char"/>
    <w:basedOn w:val="DefaultParagraphFont"/>
    <w:link w:val="DocumentMap"/>
    <w:uiPriority w:val="99"/>
    <w:locked/>
    <w:rsid w:val="00B8052B"/>
    <w:rPr>
      <w:rFonts w:ascii="Calibri" w:eastAsia="Times New Roman" w:hAnsi="Tahoma" w:cs="Arial"/>
      <w:sz w:val="16"/>
      <w:szCs w:val="16"/>
    </w:rPr>
  </w:style>
  <w:style w:type="paragraph" w:customStyle="1" w:styleId="Authors">
    <w:name w:val="Authors"/>
    <w:basedOn w:val="Normal"/>
    <w:autoRedefine/>
    <w:rsid w:val="00A01C21"/>
    <w:pPr>
      <w:widowControl w:val="0"/>
      <w:autoSpaceDE w:val="0"/>
      <w:autoSpaceDN w:val="0"/>
      <w:adjustRightInd w:val="0"/>
      <w:spacing w:line="360" w:lineRule="auto"/>
      <w:jc w:val="center"/>
      <w:textAlignment w:val="baseline"/>
    </w:pPr>
    <w:rPr>
      <w:rFonts w:eastAsia="BatangChe"/>
      <w:b/>
      <w:szCs w:val="20"/>
      <w:lang w:eastAsia="ko-KR"/>
    </w:rPr>
  </w:style>
  <w:style w:type="paragraph" w:customStyle="1" w:styleId="Addresses">
    <w:name w:val="Addresses"/>
    <w:basedOn w:val="Normal"/>
    <w:rsid w:val="00A01C21"/>
    <w:pPr>
      <w:widowControl w:val="0"/>
      <w:autoSpaceDE w:val="0"/>
      <w:autoSpaceDN w:val="0"/>
      <w:adjustRightInd w:val="0"/>
      <w:spacing w:line="360" w:lineRule="auto"/>
      <w:jc w:val="center"/>
      <w:textAlignment w:val="baseline"/>
    </w:pPr>
    <w:rPr>
      <w:rFonts w:eastAsia="BatangChe"/>
      <w:i/>
      <w:szCs w:val="20"/>
      <w:lang w:eastAsia="ko-KR"/>
    </w:rPr>
  </w:style>
  <w:style w:type="paragraph" w:customStyle="1" w:styleId="Body">
    <w:name w:val="Body"/>
    <w:basedOn w:val="Normal"/>
    <w:rsid w:val="00A01C21"/>
    <w:pPr>
      <w:widowControl w:val="0"/>
      <w:autoSpaceDE w:val="0"/>
      <w:autoSpaceDN w:val="0"/>
      <w:adjustRightInd w:val="0"/>
      <w:spacing w:line="360" w:lineRule="auto"/>
      <w:ind w:firstLine="340"/>
      <w:jc w:val="both"/>
      <w:textAlignment w:val="baseline"/>
    </w:pPr>
    <w:rPr>
      <w:rFonts w:eastAsia="BatangChe"/>
      <w:szCs w:val="20"/>
      <w:lang w:eastAsia="ko-KR"/>
    </w:rPr>
  </w:style>
  <w:style w:type="paragraph" w:customStyle="1" w:styleId="Bullet">
    <w:name w:val="Bullet"/>
    <w:basedOn w:val="Body"/>
    <w:rsid w:val="00A01C21"/>
    <w:pPr>
      <w:ind w:left="576" w:hanging="288"/>
    </w:pPr>
  </w:style>
  <w:style w:type="paragraph" w:customStyle="1" w:styleId="SubBullet">
    <w:name w:val="SubBullet"/>
    <w:basedOn w:val="Body"/>
    <w:rsid w:val="00A01C21"/>
    <w:pPr>
      <w:ind w:left="1145" w:hanging="283"/>
    </w:pPr>
  </w:style>
  <w:style w:type="paragraph" w:customStyle="1" w:styleId="Tabletitle">
    <w:name w:val="Tabletitle"/>
    <w:basedOn w:val="Body"/>
    <w:rsid w:val="00A01C21"/>
    <w:pPr>
      <w:spacing w:before="240" w:after="120"/>
      <w:jc w:val="center"/>
    </w:pPr>
    <w:rPr>
      <w:i/>
    </w:rPr>
  </w:style>
  <w:style w:type="paragraph" w:customStyle="1" w:styleId="FigureTitle">
    <w:name w:val="FigureTitle"/>
    <w:basedOn w:val="Body"/>
    <w:rsid w:val="00A01C21"/>
    <w:pPr>
      <w:spacing w:after="120"/>
      <w:jc w:val="center"/>
    </w:pPr>
    <w:rPr>
      <w:i/>
    </w:rPr>
  </w:style>
  <w:style w:type="paragraph" w:customStyle="1" w:styleId="Equation">
    <w:name w:val="Equation"/>
    <w:basedOn w:val="Normal"/>
    <w:rsid w:val="00A01C21"/>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paragraph" w:customStyle="1" w:styleId="Reference">
    <w:name w:val="Reference"/>
    <w:basedOn w:val="Normal"/>
    <w:autoRedefine/>
    <w:rsid w:val="00F4258D"/>
    <w:pPr>
      <w:widowControl w:val="0"/>
      <w:numPr>
        <w:numId w:val="23"/>
      </w:numPr>
      <w:autoSpaceDE w:val="0"/>
      <w:autoSpaceDN w:val="0"/>
      <w:adjustRightInd w:val="0"/>
      <w:spacing w:before="60" w:line="360" w:lineRule="auto"/>
      <w:ind w:left="360"/>
      <w:jc w:val="both"/>
      <w:textAlignment w:val="baseline"/>
    </w:pPr>
    <w:rPr>
      <w:rFonts w:eastAsia="BatangChe"/>
      <w:szCs w:val="20"/>
      <w:lang w:eastAsia="ko-KR"/>
    </w:rPr>
  </w:style>
  <w:style w:type="character" w:customStyle="1" w:styleId="Style4">
    <w:name w:val="Style4"/>
    <w:uiPriority w:val="1"/>
    <w:rsid w:val="00231CAF"/>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07659">
      <w:marLeft w:val="0"/>
      <w:marRight w:val="0"/>
      <w:marTop w:val="0"/>
      <w:marBottom w:val="0"/>
      <w:divBdr>
        <w:top w:val="none" w:sz="0" w:space="0" w:color="auto"/>
        <w:left w:val="none" w:sz="0" w:space="0" w:color="auto"/>
        <w:bottom w:val="none" w:sz="0" w:space="0" w:color="auto"/>
        <w:right w:val="none" w:sz="0" w:space="0" w:color="auto"/>
      </w:divBdr>
    </w:div>
    <w:div w:id="1001007660">
      <w:marLeft w:val="0"/>
      <w:marRight w:val="0"/>
      <w:marTop w:val="0"/>
      <w:marBottom w:val="0"/>
      <w:divBdr>
        <w:top w:val="none" w:sz="0" w:space="0" w:color="auto"/>
        <w:left w:val="none" w:sz="0" w:space="0" w:color="auto"/>
        <w:bottom w:val="none" w:sz="0" w:space="0" w:color="auto"/>
        <w:right w:val="none" w:sz="0" w:space="0" w:color="auto"/>
      </w:divBdr>
    </w:div>
    <w:div w:id="1001007661">
      <w:marLeft w:val="0"/>
      <w:marRight w:val="0"/>
      <w:marTop w:val="0"/>
      <w:marBottom w:val="0"/>
      <w:divBdr>
        <w:top w:val="none" w:sz="0" w:space="0" w:color="auto"/>
        <w:left w:val="none" w:sz="0" w:space="0" w:color="auto"/>
        <w:bottom w:val="none" w:sz="0" w:space="0" w:color="auto"/>
        <w:right w:val="none" w:sz="0" w:space="0" w:color="auto"/>
      </w:divBdr>
    </w:div>
    <w:div w:id="1001007662">
      <w:marLeft w:val="0"/>
      <w:marRight w:val="0"/>
      <w:marTop w:val="0"/>
      <w:marBottom w:val="0"/>
      <w:divBdr>
        <w:top w:val="none" w:sz="0" w:space="0" w:color="auto"/>
        <w:left w:val="none" w:sz="0" w:space="0" w:color="auto"/>
        <w:bottom w:val="none" w:sz="0" w:space="0" w:color="auto"/>
        <w:right w:val="none" w:sz="0" w:space="0" w:color="auto"/>
      </w:divBdr>
    </w:div>
    <w:div w:id="1001007663">
      <w:marLeft w:val="0"/>
      <w:marRight w:val="0"/>
      <w:marTop w:val="0"/>
      <w:marBottom w:val="0"/>
      <w:divBdr>
        <w:top w:val="none" w:sz="0" w:space="0" w:color="auto"/>
        <w:left w:val="none" w:sz="0" w:space="0" w:color="auto"/>
        <w:bottom w:val="none" w:sz="0" w:space="0" w:color="auto"/>
        <w:right w:val="none" w:sz="0" w:space="0" w:color="auto"/>
      </w:divBdr>
    </w:div>
    <w:div w:id="10010076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andibahris@iainpare.ac.id"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EKONOMI%20ABU%20UBAID%20J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FBFB-3926-457B-873F-28023639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EKONOMI ABU UBAID JURNAL</Template>
  <TotalTime>25</TotalTime>
  <Pages>11</Pages>
  <Words>8729</Words>
  <Characters>49761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PEMIKIRAN EKONOMI ABU UBAID</vt:lpstr>
    </vt:vector>
  </TitlesOfParts>
  <Company>www.Dayat.comp</Company>
  <LinksUpToDate>false</LinksUpToDate>
  <CharactersWithSpaces>58374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PEMIKIRAN EKONOMI ABU UBAID</dc:title>
  <dc:creator>ismail - [2010]</dc:creator>
  <cp:lastModifiedBy>lenovo</cp:lastModifiedBy>
  <cp:revision>3</cp:revision>
  <cp:lastPrinted>2019-05-26T03:25:00Z</cp:lastPrinted>
  <dcterms:created xsi:type="dcterms:W3CDTF">2023-10-08T14:26:00Z</dcterms:created>
  <dcterms:modified xsi:type="dcterms:W3CDTF">2023-10-08T14:51:00Z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id="BFEuSoqA"/&gt;&lt;style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