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D3B" w:rsidRPr="009B08DC" w:rsidRDefault="00C96D3B" w:rsidP="00965547">
      <w:pPr>
        <w:pStyle w:val="Title"/>
        <w:rPr>
          <w:rFonts w:asciiTheme="majorBidi" w:hAnsiTheme="majorBidi" w:cstheme="majorBidi"/>
          <w:sz w:val="32"/>
          <w:szCs w:val="32"/>
        </w:rPr>
      </w:pPr>
      <w:bookmarkStart w:id="0" w:name="OLE_LINK1"/>
      <w:bookmarkStart w:id="1" w:name="OLE_LINK2"/>
      <w:r w:rsidRPr="009B08DC">
        <w:rPr>
          <w:rFonts w:asciiTheme="majorBidi" w:hAnsiTheme="majorBidi" w:cstheme="majorBidi"/>
          <w:sz w:val="32"/>
          <w:szCs w:val="32"/>
        </w:rPr>
        <w:t>E-Gold and Investment Challenges:</w:t>
      </w:r>
    </w:p>
    <w:p w:rsidR="00965547" w:rsidRDefault="00F40EAC" w:rsidP="00965547">
      <w:pPr>
        <w:pStyle w:val="Title"/>
        <w:rPr>
          <w:rFonts w:ascii="Garamond" w:hAnsi="Garamond"/>
          <w:color w:val="FF0000"/>
          <w:sz w:val="32"/>
          <w:szCs w:val="32"/>
        </w:rPr>
      </w:pPr>
      <w:r w:rsidRPr="009B08DC">
        <w:rPr>
          <w:rFonts w:asciiTheme="majorBidi" w:hAnsiTheme="majorBidi" w:cstheme="majorBidi"/>
          <w:sz w:val="32"/>
          <w:szCs w:val="32"/>
        </w:rPr>
        <w:t xml:space="preserve">How Digital Gold </w:t>
      </w:r>
      <w:r w:rsidR="00965547" w:rsidRPr="009B08DC">
        <w:rPr>
          <w:rFonts w:asciiTheme="majorBidi" w:hAnsiTheme="majorBidi" w:cstheme="majorBidi"/>
          <w:sz w:val="32"/>
          <w:szCs w:val="32"/>
        </w:rPr>
        <w:t xml:space="preserve">Works </w:t>
      </w:r>
      <w:r w:rsidR="00452441" w:rsidRPr="009B08DC">
        <w:rPr>
          <w:rFonts w:asciiTheme="majorBidi" w:hAnsiTheme="majorBidi" w:cstheme="majorBidi"/>
          <w:sz w:val="32"/>
          <w:szCs w:val="32"/>
        </w:rPr>
        <w:t xml:space="preserve">for Economic Recovery </w:t>
      </w:r>
      <w:r w:rsidR="00965547" w:rsidRPr="009B08DC">
        <w:rPr>
          <w:rFonts w:asciiTheme="majorBidi" w:hAnsiTheme="majorBidi" w:cstheme="majorBidi"/>
          <w:sz w:val="32"/>
          <w:szCs w:val="32"/>
        </w:rPr>
        <w:t>after Covid-19 Pandemic</w:t>
      </w:r>
    </w:p>
    <w:bookmarkEnd w:id="0"/>
    <w:bookmarkEnd w:id="1"/>
    <w:p w:rsidR="00D32285" w:rsidRPr="00D32285" w:rsidRDefault="00D32285" w:rsidP="00965547">
      <w:pPr>
        <w:pStyle w:val="Title"/>
        <w:spacing w:line="276" w:lineRule="auto"/>
        <w:rPr>
          <w:rFonts w:asciiTheme="majorBidi" w:eastAsia="BatangChe" w:hAnsiTheme="majorBidi" w:cstheme="majorBidi"/>
          <w:b w:val="0"/>
          <w:color w:val="000000"/>
          <w:lang w:eastAsia="ko-KR"/>
        </w:rPr>
      </w:pPr>
    </w:p>
    <w:p w:rsidR="00231CAF" w:rsidRPr="00F00273" w:rsidRDefault="00231CAF" w:rsidP="00F00273">
      <w:pPr>
        <w:pStyle w:val="Title"/>
        <w:spacing w:line="276" w:lineRule="auto"/>
        <w:rPr>
          <w:rFonts w:asciiTheme="majorBidi" w:hAnsiTheme="majorBidi" w:cstheme="majorBidi"/>
          <w:sz w:val="22"/>
          <w:szCs w:val="22"/>
          <w:vertAlign w:val="superscript"/>
        </w:rPr>
      </w:pPr>
      <w:proofErr w:type="spellStart"/>
      <w:r w:rsidRPr="00965547">
        <w:rPr>
          <w:rFonts w:asciiTheme="majorBidi" w:eastAsia="BatangChe" w:hAnsiTheme="majorBidi" w:cstheme="majorBidi"/>
          <w:bCs w:val="0"/>
          <w:color w:val="000000"/>
          <w:lang w:eastAsia="ko-KR"/>
        </w:rPr>
        <w:t>Andi</w:t>
      </w:r>
      <w:proofErr w:type="spellEnd"/>
      <w:r w:rsidRPr="00965547">
        <w:rPr>
          <w:rFonts w:asciiTheme="majorBidi" w:eastAsia="BatangChe" w:hAnsiTheme="majorBidi" w:cstheme="majorBidi"/>
          <w:bCs w:val="0"/>
          <w:color w:val="000000"/>
          <w:lang w:eastAsia="ko-KR"/>
        </w:rPr>
        <w:t xml:space="preserve"> </w:t>
      </w:r>
      <w:proofErr w:type="spellStart"/>
      <w:r w:rsidRPr="00965547">
        <w:rPr>
          <w:rFonts w:asciiTheme="majorBidi" w:eastAsia="BatangChe" w:hAnsiTheme="majorBidi" w:cstheme="majorBidi"/>
          <w:bCs w:val="0"/>
          <w:color w:val="000000"/>
          <w:lang w:eastAsia="ko-KR"/>
        </w:rPr>
        <w:t>Bahri</w:t>
      </w:r>
      <w:proofErr w:type="spellEnd"/>
      <w:r w:rsidRPr="00965547">
        <w:rPr>
          <w:rFonts w:asciiTheme="majorBidi" w:eastAsia="BatangChe" w:hAnsiTheme="majorBidi" w:cstheme="majorBidi"/>
          <w:bCs w:val="0"/>
          <w:color w:val="000000"/>
          <w:lang w:eastAsia="ko-KR"/>
        </w:rPr>
        <w:t xml:space="preserve"> S</w:t>
      </w:r>
      <w:r w:rsidRPr="00965547">
        <w:rPr>
          <w:rFonts w:asciiTheme="majorBidi" w:hAnsiTheme="majorBidi" w:cstheme="majorBidi"/>
          <w:b w:val="0"/>
          <w:bCs w:val="0"/>
          <w:vertAlign w:val="superscript"/>
        </w:rPr>
        <w:t>1*</w:t>
      </w:r>
      <w:r w:rsidRPr="00965547">
        <w:rPr>
          <w:rFonts w:asciiTheme="majorBidi" w:eastAsia="BatangChe" w:hAnsiTheme="majorBidi" w:cstheme="majorBidi"/>
          <w:bCs w:val="0"/>
          <w:color w:val="000000"/>
          <w:lang w:eastAsia="ko-KR"/>
        </w:rPr>
        <w:t xml:space="preserve">, </w:t>
      </w:r>
      <w:proofErr w:type="spellStart"/>
      <w:r w:rsidRPr="00965547">
        <w:rPr>
          <w:rFonts w:asciiTheme="majorBidi" w:eastAsia="BatangChe" w:hAnsiTheme="majorBidi" w:cstheme="majorBidi"/>
          <w:bCs w:val="0"/>
          <w:color w:val="000000"/>
          <w:lang w:eastAsia="ko-KR"/>
        </w:rPr>
        <w:t>Hardyansyah</w:t>
      </w:r>
      <w:proofErr w:type="spellEnd"/>
      <w:r w:rsidRPr="00965547">
        <w:rPr>
          <w:rFonts w:asciiTheme="majorBidi" w:eastAsia="BatangChe" w:hAnsiTheme="majorBidi" w:cstheme="majorBidi"/>
          <w:bCs w:val="0"/>
          <w:color w:val="000000"/>
          <w:lang w:eastAsia="ko-KR"/>
        </w:rPr>
        <w:t xml:space="preserve"> Yusuf</w:t>
      </w:r>
      <w:r w:rsidRPr="00965547">
        <w:rPr>
          <w:rFonts w:asciiTheme="majorBidi" w:hAnsiTheme="majorBidi" w:cstheme="majorBidi"/>
          <w:b w:val="0"/>
          <w:bCs w:val="0"/>
          <w:vertAlign w:val="superscript"/>
        </w:rPr>
        <w:t>2</w:t>
      </w:r>
      <w:r w:rsidRPr="00965547">
        <w:rPr>
          <w:rFonts w:asciiTheme="majorBidi" w:eastAsia="BatangChe" w:hAnsiTheme="majorBidi" w:cstheme="majorBidi"/>
          <w:bCs w:val="0"/>
          <w:color w:val="000000"/>
          <w:lang w:eastAsia="ko-KR"/>
        </w:rPr>
        <w:t xml:space="preserve">, </w:t>
      </w:r>
      <w:r w:rsidR="00F00273" w:rsidRPr="00965547">
        <w:rPr>
          <w:rFonts w:asciiTheme="majorBidi" w:eastAsia="BatangChe" w:hAnsiTheme="majorBidi" w:cstheme="majorBidi"/>
          <w:bCs w:val="0"/>
          <w:color w:val="000000"/>
          <w:lang w:eastAsia="ko-KR"/>
        </w:rPr>
        <w:t>Damirah</w:t>
      </w:r>
      <w:r w:rsidR="00F00273" w:rsidRPr="00965547">
        <w:rPr>
          <w:rFonts w:asciiTheme="majorBidi" w:hAnsiTheme="majorBidi" w:cstheme="majorBidi"/>
          <w:b w:val="0"/>
          <w:bCs w:val="0"/>
          <w:vertAlign w:val="superscript"/>
        </w:rPr>
        <w:t>3</w:t>
      </w:r>
      <w:r w:rsidR="00F00273">
        <w:rPr>
          <w:rFonts w:asciiTheme="majorBidi" w:eastAsia="BatangChe" w:hAnsiTheme="majorBidi" w:cstheme="majorBidi"/>
          <w:bCs w:val="0"/>
          <w:color w:val="000000"/>
          <w:lang w:eastAsia="ko-KR"/>
        </w:rPr>
        <w:t xml:space="preserve">, </w:t>
      </w:r>
      <w:proofErr w:type="spellStart"/>
      <w:r w:rsidR="00F00273">
        <w:rPr>
          <w:rFonts w:asciiTheme="majorBidi" w:eastAsia="BatangChe" w:hAnsiTheme="majorBidi" w:cstheme="majorBidi"/>
          <w:bCs w:val="0"/>
          <w:color w:val="000000"/>
          <w:lang w:eastAsia="ko-KR"/>
        </w:rPr>
        <w:t>Khairuddin</w:t>
      </w:r>
      <w:proofErr w:type="spellEnd"/>
      <w:r w:rsidR="00F00273">
        <w:rPr>
          <w:rFonts w:asciiTheme="majorBidi" w:eastAsia="BatangChe" w:hAnsiTheme="majorBidi" w:cstheme="majorBidi"/>
          <w:bCs w:val="0"/>
          <w:color w:val="000000"/>
          <w:lang w:eastAsia="ko-KR"/>
        </w:rPr>
        <w:t xml:space="preserve"> Yusup</w:t>
      </w:r>
      <w:r w:rsidR="00F00273">
        <w:rPr>
          <w:rFonts w:asciiTheme="majorBidi" w:eastAsia="BatangChe" w:hAnsiTheme="majorBidi" w:cstheme="majorBidi"/>
          <w:bCs w:val="0"/>
          <w:color w:val="000000"/>
          <w:sz w:val="22"/>
          <w:szCs w:val="22"/>
          <w:vertAlign w:val="superscript"/>
          <w:lang w:eastAsia="ko-KR"/>
        </w:rPr>
        <w:t>4</w:t>
      </w:r>
    </w:p>
    <w:p w:rsidR="00231CAF" w:rsidRDefault="00231CAF" w:rsidP="00965547">
      <w:pPr>
        <w:pStyle w:val="Title"/>
        <w:spacing w:line="276" w:lineRule="auto"/>
        <w:rPr>
          <w:rFonts w:asciiTheme="majorBidi" w:eastAsia="BatangChe" w:hAnsiTheme="majorBidi" w:cstheme="majorBidi"/>
          <w:b w:val="0"/>
          <w:iCs/>
          <w:color w:val="000000"/>
          <w:lang w:eastAsia="ko-KR"/>
        </w:rPr>
      </w:pPr>
      <w:r w:rsidRPr="00965547">
        <w:rPr>
          <w:rFonts w:asciiTheme="majorBidi" w:hAnsiTheme="majorBidi" w:cstheme="majorBidi"/>
          <w:b w:val="0"/>
          <w:bCs w:val="0"/>
          <w:sz w:val="22"/>
          <w:szCs w:val="22"/>
          <w:vertAlign w:val="superscript"/>
        </w:rPr>
        <w:t>1</w:t>
      </w:r>
      <w:proofErr w:type="gramStart"/>
      <w:r w:rsidRPr="00965547">
        <w:rPr>
          <w:rFonts w:asciiTheme="majorBidi" w:hAnsiTheme="majorBidi" w:cstheme="majorBidi"/>
          <w:b w:val="0"/>
          <w:bCs w:val="0"/>
          <w:sz w:val="22"/>
          <w:szCs w:val="22"/>
          <w:vertAlign w:val="superscript"/>
        </w:rPr>
        <w:t>,2,3</w:t>
      </w:r>
      <w:proofErr w:type="gramEnd"/>
      <w:r w:rsidRPr="00965547">
        <w:rPr>
          <w:rFonts w:asciiTheme="majorBidi" w:hAnsiTheme="majorBidi" w:cstheme="majorBidi"/>
          <w:b w:val="0"/>
          <w:bCs w:val="0"/>
          <w:sz w:val="22"/>
          <w:szCs w:val="22"/>
        </w:rPr>
        <w:t xml:space="preserve"> </w:t>
      </w:r>
      <w:proofErr w:type="spellStart"/>
      <w:r w:rsidRPr="00965547">
        <w:rPr>
          <w:rFonts w:asciiTheme="majorBidi" w:eastAsia="BatangChe" w:hAnsiTheme="majorBidi" w:cstheme="majorBidi"/>
          <w:b w:val="0"/>
          <w:i/>
          <w:color w:val="000000"/>
          <w:lang w:eastAsia="ko-KR"/>
        </w:rPr>
        <w:t>Institut</w:t>
      </w:r>
      <w:proofErr w:type="spellEnd"/>
      <w:r w:rsidRPr="00965547">
        <w:rPr>
          <w:rFonts w:asciiTheme="majorBidi" w:eastAsia="BatangChe" w:hAnsiTheme="majorBidi" w:cstheme="majorBidi"/>
          <w:b w:val="0"/>
          <w:i/>
          <w:color w:val="000000"/>
          <w:lang w:eastAsia="ko-KR"/>
        </w:rPr>
        <w:t xml:space="preserve"> Agama Islam </w:t>
      </w:r>
      <w:proofErr w:type="spellStart"/>
      <w:r w:rsidRPr="00965547">
        <w:rPr>
          <w:rFonts w:asciiTheme="majorBidi" w:eastAsia="BatangChe" w:hAnsiTheme="majorBidi" w:cstheme="majorBidi"/>
          <w:b w:val="0"/>
          <w:i/>
          <w:color w:val="000000"/>
          <w:lang w:eastAsia="ko-KR"/>
        </w:rPr>
        <w:t>Negeri</w:t>
      </w:r>
      <w:proofErr w:type="spellEnd"/>
      <w:r w:rsidRPr="00965547">
        <w:rPr>
          <w:rFonts w:asciiTheme="majorBidi" w:eastAsia="BatangChe" w:hAnsiTheme="majorBidi" w:cstheme="majorBidi"/>
          <w:b w:val="0"/>
          <w:i/>
          <w:color w:val="000000"/>
          <w:lang w:eastAsia="ko-KR"/>
        </w:rPr>
        <w:t xml:space="preserve"> </w:t>
      </w:r>
      <w:proofErr w:type="spellStart"/>
      <w:r w:rsidRPr="00965547">
        <w:rPr>
          <w:rFonts w:asciiTheme="majorBidi" w:eastAsia="BatangChe" w:hAnsiTheme="majorBidi" w:cstheme="majorBidi"/>
          <w:b w:val="0"/>
          <w:i/>
          <w:color w:val="000000"/>
          <w:lang w:eastAsia="ko-KR"/>
        </w:rPr>
        <w:t>Parepare</w:t>
      </w:r>
      <w:proofErr w:type="spellEnd"/>
      <w:r w:rsidRPr="00965547">
        <w:rPr>
          <w:rFonts w:asciiTheme="majorBidi" w:eastAsia="BatangChe" w:hAnsiTheme="majorBidi" w:cstheme="majorBidi"/>
          <w:b w:val="0"/>
          <w:i/>
          <w:color w:val="000000"/>
          <w:lang w:eastAsia="ko-KR"/>
        </w:rPr>
        <w:t>,</w:t>
      </w:r>
      <w:r w:rsidR="00F00273">
        <w:rPr>
          <w:rFonts w:asciiTheme="majorBidi" w:eastAsia="BatangChe" w:hAnsiTheme="majorBidi" w:cstheme="majorBidi"/>
          <w:b w:val="0"/>
          <w:i/>
          <w:color w:val="000000"/>
          <w:lang w:eastAsia="ko-KR"/>
        </w:rPr>
        <w:t xml:space="preserve"> Sulawesi Selatan</w:t>
      </w:r>
      <w:bookmarkStart w:id="2" w:name="_GoBack"/>
      <w:bookmarkEnd w:id="2"/>
      <w:r w:rsidRPr="00965547">
        <w:rPr>
          <w:rFonts w:asciiTheme="majorBidi" w:eastAsia="BatangChe" w:hAnsiTheme="majorBidi" w:cstheme="majorBidi"/>
          <w:b w:val="0"/>
          <w:i/>
          <w:color w:val="000000"/>
          <w:lang w:eastAsia="ko-KR"/>
        </w:rPr>
        <w:t xml:space="preserve"> Indonesia</w:t>
      </w:r>
    </w:p>
    <w:p w:rsidR="00F00273" w:rsidRPr="00F00273" w:rsidRDefault="00F00273" w:rsidP="00965547">
      <w:pPr>
        <w:pStyle w:val="Title"/>
        <w:spacing w:line="276" w:lineRule="auto"/>
        <w:rPr>
          <w:rFonts w:asciiTheme="majorBidi" w:hAnsiTheme="majorBidi" w:cstheme="majorBidi"/>
          <w:b w:val="0"/>
          <w:bCs w:val="0"/>
          <w:iCs/>
          <w:sz w:val="22"/>
          <w:szCs w:val="22"/>
        </w:rPr>
      </w:pPr>
      <w:r>
        <w:rPr>
          <w:rFonts w:asciiTheme="majorBidi" w:eastAsia="BatangChe" w:hAnsiTheme="majorBidi" w:cstheme="majorBidi"/>
          <w:b w:val="0"/>
          <w:iCs/>
          <w:color w:val="000000"/>
          <w:vertAlign w:val="superscript"/>
          <w:lang w:eastAsia="ko-KR"/>
        </w:rPr>
        <w:t xml:space="preserve">4 </w:t>
      </w:r>
      <w:r w:rsidRPr="00F00273">
        <w:rPr>
          <w:rFonts w:asciiTheme="majorBidi" w:eastAsia="BatangChe" w:hAnsiTheme="majorBidi" w:cstheme="majorBidi"/>
          <w:b w:val="0"/>
          <w:i/>
          <w:color w:val="000000"/>
          <w:lang w:eastAsia="ko-KR"/>
        </w:rPr>
        <w:t xml:space="preserve">UIN </w:t>
      </w:r>
      <w:proofErr w:type="spellStart"/>
      <w:r w:rsidRPr="00F00273">
        <w:rPr>
          <w:rFonts w:asciiTheme="majorBidi" w:eastAsia="BatangChe" w:hAnsiTheme="majorBidi" w:cstheme="majorBidi"/>
          <w:b w:val="0"/>
          <w:i/>
          <w:color w:val="000000"/>
          <w:lang w:eastAsia="ko-KR"/>
        </w:rPr>
        <w:t>Datokarama</w:t>
      </w:r>
      <w:proofErr w:type="spellEnd"/>
      <w:r w:rsidRPr="00F00273">
        <w:rPr>
          <w:rFonts w:asciiTheme="majorBidi" w:eastAsia="BatangChe" w:hAnsiTheme="majorBidi" w:cstheme="majorBidi"/>
          <w:b w:val="0"/>
          <w:i/>
          <w:color w:val="000000"/>
          <w:lang w:eastAsia="ko-KR"/>
        </w:rPr>
        <w:t xml:space="preserve"> </w:t>
      </w:r>
      <w:proofErr w:type="spellStart"/>
      <w:r w:rsidRPr="00F00273">
        <w:rPr>
          <w:rFonts w:asciiTheme="majorBidi" w:eastAsia="BatangChe" w:hAnsiTheme="majorBidi" w:cstheme="majorBidi"/>
          <w:b w:val="0"/>
          <w:i/>
          <w:color w:val="000000"/>
          <w:lang w:eastAsia="ko-KR"/>
        </w:rPr>
        <w:t>Palu</w:t>
      </w:r>
      <w:proofErr w:type="spellEnd"/>
      <w:r w:rsidRPr="00F00273">
        <w:rPr>
          <w:rFonts w:asciiTheme="majorBidi" w:eastAsia="BatangChe" w:hAnsiTheme="majorBidi" w:cstheme="majorBidi"/>
          <w:b w:val="0"/>
          <w:i/>
          <w:color w:val="000000"/>
          <w:lang w:eastAsia="ko-KR"/>
        </w:rPr>
        <w:t>, Sulawesi Tengah, Indonesia</w:t>
      </w:r>
    </w:p>
    <w:p w:rsidR="00231CAF" w:rsidRDefault="00231CAF" w:rsidP="00965547">
      <w:pPr>
        <w:pStyle w:val="Title"/>
        <w:rPr>
          <w:rFonts w:ascii="Garamond" w:hAnsi="Garamond"/>
          <w:color w:val="000000"/>
        </w:rPr>
      </w:pPr>
      <w:r w:rsidRPr="00965547">
        <w:rPr>
          <w:rFonts w:asciiTheme="majorBidi" w:hAnsiTheme="majorBidi" w:cstheme="majorBidi"/>
          <w:b w:val="0"/>
          <w:bCs w:val="0"/>
          <w:sz w:val="22"/>
          <w:szCs w:val="22"/>
        </w:rPr>
        <w:t xml:space="preserve">*Corresponding Author </w:t>
      </w:r>
      <w:r w:rsidRPr="00965547">
        <w:rPr>
          <w:rFonts w:asciiTheme="majorBidi" w:hAnsiTheme="majorBidi" w:cstheme="majorBidi"/>
          <w:b w:val="0"/>
          <w:bCs w:val="0"/>
          <w:i/>
          <w:iCs/>
          <w:sz w:val="22"/>
          <w:szCs w:val="22"/>
        </w:rPr>
        <w:t>E-mail</w:t>
      </w:r>
      <w:r w:rsidRPr="00965547">
        <w:rPr>
          <w:rFonts w:asciiTheme="majorBidi" w:hAnsiTheme="majorBidi" w:cstheme="majorBidi"/>
          <w:b w:val="0"/>
          <w:bCs w:val="0"/>
          <w:sz w:val="22"/>
          <w:szCs w:val="22"/>
        </w:rPr>
        <w:t xml:space="preserve">: </w:t>
      </w:r>
      <w:hyperlink r:id="rId9" w:history="1">
        <w:r w:rsidRPr="00965547">
          <w:rPr>
            <w:rStyle w:val="Hyperlink"/>
            <w:rFonts w:asciiTheme="majorBidi" w:hAnsiTheme="majorBidi" w:cstheme="majorBidi"/>
            <w:b w:val="0"/>
            <w:bCs w:val="0"/>
            <w:sz w:val="22"/>
            <w:szCs w:val="22"/>
          </w:rPr>
          <w:t>andibahris@iainpare.ac.id</w:t>
        </w:r>
      </w:hyperlink>
    </w:p>
    <w:p w:rsidR="00231CAF" w:rsidRDefault="00231CAF" w:rsidP="00551B67">
      <w:pPr>
        <w:pStyle w:val="Title"/>
        <w:rPr>
          <w:rFonts w:ascii="Garamond" w:hAnsi="Garamond"/>
          <w:color w:val="000000"/>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263"/>
        <w:gridCol w:w="5103"/>
      </w:tblGrid>
      <w:tr w:rsidR="00A5080C" w:rsidRPr="00694646" w:rsidTr="004252DE">
        <w:trPr>
          <w:jc w:val="center"/>
        </w:trPr>
        <w:tc>
          <w:tcPr>
            <w:tcW w:w="2005" w:type="dxa"/>
            <w:tcBorders>
              <w:left w:val="nil"/>
              <w:right w:val="nil"/>
            </w:tcBorders>
          </w:tcPr>
          <w:p w:rsidR="00A5080C" w:rsidRPr="00694646" w:rsidRDefault="00A5080C" w:rsidP="004252DE">
            <w:pPr>
              <w:rPr>
                <w:rFonts w:ascii="Garamond" w:hAnsi="Garamond"/>
                <w:b/>
                <w:bCs/>
                <w:sz w:val="18"/>
                <w:szCs w:val="18"/>
              </w:rPr>
            </w:pPr>
            <w:r w:rsidRPr="00694646">
              <w:rPr>
                <w:rFonts w:ascii="Garamond" w:hAnsi="Garamond"/>
                <w:b/>
                <w:bCs/>
                <w:sz w:val="18"/>
                <w:szCs w:val="18"/>
              </w:rPr>
              <w:t>ARTICLE INFO</w:t>
            </w:r>
          </w:p>
        </w:tc>
        <w:tc>
          <w:tcPr>
            <w:tcW w:w="263" w:type="dxa"/>
            <w:vMerge w:val="restart"/>
            <w:tcBorders>
              <w:left w:val="nil"/>
              <w:right w:val="nil"/>
            </w:tcBorders>
          </w:tcPr>
          <w:p w:rsidR="00A5080C" w:rsidRPr="00694646" w:rsidRDefault="00A5080C" w:rsidP="004252DE">
            <w:pPr>
              <w:pStyle w:val="Heading1"/>
              <w:rPr>
                <w:rFonts w:ascii="Garamond" w:hAnsi="Garamond"/>
                <w:sz w:val="18"/>
                <w:szCs w:val="18"/>
              </w:rPr>
            </w:pPr>
          </w:p>
        </w:tc>
        <w:tc>
          <w:tcPr>
            <w:tcW w:w="5103" w:type="dxa"/>
            <w:vMerge w:val="restart"/>
            <w:tcBorders>
              <w:left w:val="nil"/>
              <w:right w:val="nil"/>
            </w:tcBorders>
          </w:tcPr>
          <w:p w:rsidR="00A5080C" w:rsidRPr="00965547" w:rsidRDefault="00A5080C" w:rsidP="00965547">
            <w:pPr>
              <w:pStyle w:val="Heading1"/>
              <w:spacing w:before="120" w:after="120" w:line="240" w:lineRule="auto"/>
              <w:jc w:val="center"/>
              <w:rPr>
                <w:rFonts w:asciiTheme="majorBidi" w:hAnsiTheme="majorBidi" w:cstheme="majorBidi"/>
                <w:sz w:val="18"/>
                <w:szCs w:val="18"/>
              </w:rPr>
            </w:pPr>
            <w:r w:rsidRPr="00965547">
              <w:rPr>
                <w:rFonts w:asciiTheme="majorBidi" w:hAnsiTheme="majorBidi" w:cstheme="majorBidi"/>
                <w:sz w:val="18"/>
                <w:szCs w:val="18"/>
              </w:rPr>
              <w:t>ABSTRACT</w:t>
            </w:r>
          </w:p>
          <w:p w:rsidR="00BE7514" w:rsidRPr="00965547" w:rsidRDefault="00BE7514" w:rsidP="00965547">
            <w:pPr>
              <w:spacing w:before="120" w:after="120"/>
              <w:jc w:val="both"/>
              <w:rPr>
                <w:rFonts w:asciiTheme="majorBidi" w:hAnsiTheme="majorBidi" w:cstheme="majorBidi"/>
                <w:sz w:val="18"/>
                <w:szCs w:val="18"/>
              </w:rPr>
            </w:pPr>
            <w:r w:rsidRPr="00965547">
              <w:rPr>
                <w:rFonts w:asciiTheme="majorBidi" w:hAnsiTheme="majorBidi" w:cstheme="majorBidi"/>
                <w:b/>
                <w:bCs/>
                <w:sz w:val="18"/>
                <w:szCs w:val="18"/>
              </w:rPr>
              <w:t>Purpose</w:t>
            </w:r>
            <w:r w:rsidRPr="00965547">
              <w:rPr>
                <w:rFonts w:asciiTheme="majorBidi" w:hAnsiTheme="majorBidi" w:cstheme="majorBidi"/>
                <w:sz w:val="18"/>
                <w:szCs w:val="18"/>
              </w:rPr>
              <w:t>:</w:t>
            </w:r>
            <w:r w:rsidRPr="00965547">
              <w:rPr>
                <w:rFonts w:asciiTheme="majorBidi" w:hAnsiTheme="majorBidi" w:cstheme="majorBidi"/>
                <w:b/>
                <w:bCs/>
                <w:sz w:val="18"/>
                <w:szCs w:val="18"/>
              </w:rPr>
              <w:t xml:space="preserve"> </w:t>
            </w:r>
            <w:r w:rsidRPr="00965547">
              <w:rPr>
                <w:rFonts w:asciiTheme="majorBidi" w:hAnsiTheme="majorBidi" w:cstheme="majorBidi"/>
                <w:sz w:val="18"/>
                <w:szCs w:val="18"/>
              </w:rPr>
              <w:t>This study aims to analyze the urgency of gold (e-gold or digital gold) invest</w:t>
            </w:r>
            <w:r w:rsidR="00965547">
              <w:rPr>
                <w:rFonts w:asciiTheme="majorBidi" w:hAnsiTheme="majorBidi" w:cstheme="majorBidi"/>
                <w:sz w:val="18"/>
                <w:szCs w:val="18"/>
              </w:rPr>
              <w:t>ed</w:t>
            </w:r>
            <w:r w:rsidRPr="00965547">
              <w:rPr>
                <w:rFonts w:asciiTheme="majorBidi" w:hAnsiTheme="majorBidi" w:cstheme="majorBidi"/>
                <w:sz w:val="18"/>
                <w:szCs w:val="18"/>
              </w:rPr>
              <w:t xml:space="preserve"> for economic </w:t>
            </w:r>
            <w:r w:rsidR="00965547">
              <w:rPr>
                <w:rFonts w:asciiTheme="majorBidi" w:hAnsiTheme="majorBidi" w:cstheme="majorBidi"/>
                <w:sz w:val="18"/>
                <w:szCs w:val="18"/>
              </w:rPr>
              <w:t>recovery</w:t>
            </w:r>
            <w:r w:rsidRPr="00965547">
              <w:rPr>
                <w:rFonts w:asciiTheme="majorBidi" w:hAnsiTheme="majorBidi" w:cstheme="majorBidi"/>
                <w:sz w:val="18"/>
                <w:szCs w:val="18"/>
              </w:rPr>
              <w:t xml:space="preserve"> </w:t>
            </w:r>
            <w:r w:rsidR="00965547">
              <w:rPr>
                <w:rFonts w:asciiTheme="majorBidi" w:hAnsiTheme="majorBidi" w:cstheme="majorBidi"/>
                <w:sz w:val="18"/>
                <w:szCs w:val="18"/>
              </w:rPr>
              <w:t>after</w:t>
            </w:r>
            <w:r w:rsidRPr="00965547">
              <w:rPr>
                <w:rFonts w:asciiTheme="majorBidi" w:hAnsiTheme="majorBidi" w:cstheme="majorBidi"/>
                <w:sz w:val="18"/>
                <w:szCs w:val="18"/>
              </w:rPr>
              <w:t xml:space="preserve"> </w:t>
            </w:r>
            <w:r w:rsidR="00965547" w:rsidRPr="00965547">
              <w:rPr>
                <w:rFonts w:asciiTheme="majorBidi" w:hAnsiTheme="majorBidi" w:cstheme="majorBidi"/>
                <w:sz w:val="18"/>
                <w:szCs w:val="18"/>
              </w:rPr>
              <w:t>Covid</w:t>
            </w:r>
            <w:r w:rsidRPr="00965547">
              <w:rPr>
                <w:rFonts w:asciiTheme="majorBidi" w:hAnsiTheme="majorBidi" w:cstheme="majorBidi"/>
                <w:sz w:val="18"/>
                <w:szCs w:val="18"/>
              </w:rPr>
              <w:t>-19 pandemic.</w:t>
            </w:r>
          </w:p>
          <w:p w:rsidR="00BE7514" w:rsidRPr="004943A8" w:rsidRDefault="00BE7514" w:rsidP="00D32285">
            <w:pPr>
              <w:spacing w:before="120" w:after="120"/>
              <w:jc w:val="both"/>
              <w:rPr>
                <w:rFonts w:asciiTheme="majorBidi" w:hAnsiTheme="majorBidi" w:cstheme="majorBidi"/>
                <w:color w:val="222222"/>
                <w:sz w:val="18"/>
                <w:szCs w:val="18"/>
              </w:rPr>
            </w:pPr>
            <w:r w:rsidRPr="00965547">
              <w:rPr>
                <w:rFonts w:asciiTheme="majorBidi" w:hAnsiTheme="majorBidi" w:cstheme="majorBidi"/>
                <w:b/>
                <w:bCs/>
                <w:sz w:val="18"/>
                <w:szCs w:val="18"/>
              </w:rPr>
              <w:t>Design/Method/Approach</w:t>
            </w:r>
            <w:r w:rsidRPr="00965547">
              <w:rPr>
                <w:rFonts w:asciiTheme="majorBidi" w:hAnsiTheme="majorBidi" w:cstheme="majorBidi"/>
                <w:sz w:val="18"/>
                <w:szCs w:val="18"/>
              </w:rPr>
              <w:t xml:space="preserve">: </w:t>
            </w:r>
            <w:r w:rsidR="004943A8" w:rsidRPr="004943A8">
              <w:rPr>
                <w:rFonts w:asciiTheme="majorBidi" w:hAnsiTheme="majorBidi" w:cstheme="majorBidi"/>
                <w:color w:val="222222"/>
                <w:sz w:val="18"/>
                <w:szCs w:val="18"/>
              </w:rPr>
              <w:t xml:space="preserve">This study applied descriptive qualitative with a literature review approach. The data collected through documentation from authoritative agent on investment business and observation on economic </w:t>
            </w:r>
            <w:r w:rsidR="00D32285" w:rsidRPr="004943A8">
              <w:rPr>
                <w:rFonts w:asciiTheme="majorBidi" w:hAnsiTheme="majorBidi" w:cstheme="majorBidi"/>
                <w:color w:val="222222"/>
                <w:sz w:val="18"/>
                <w:szCs w:val="18"/>
              </w:rPr>
              <w:t>turbul</w:t>
            </w:r>
            <w:r w:rsidR="00D32285">
              <w:rPr>
                <w:rFonts w:asciiTheme="majorBidi" w:hAnsiTheme="majorBidi" w:cstheme="majorBidi"/>
                <w:color w:val="222222"/>
                <w:sz w:val="18"/>
                <w:szCs w:val="18"/>
              </w:rPr>
              <w:t>e</w:t>
            </w:r>
            <w:r w:rsidR="00D32285" w:rsidRPr="004943A8">
              <w:rPr>
                <w:rFonts w:asciiTheme="majorBidi" w:hAnsiTheme="majorBidi" w:cstheme="majorBidi"/>
                <w:color w:val="222222"/>
                <w:sz w:val="18"/>
                <w:szCs w:val="18"/>
              </w:rPr>
              <w:t>nce</w:t>
            </w:r>
            <w:r w:rsidR="004943A8" w:rsidRPr="004943A8">
              <w:rPr>
                <w:rFonts w:asciiTheme="majorBidi" w:hAnsiTheme="majorBidi" w:cstheme="majorBidi"/>
                <w:color w:val="222222"/>
                <w:sz w:val="18"/>
                <w:szCs w:val="18"/>
              </w:rPr>
              <w:t xml:space="preserve"> during the days of Covid-19 pandemic. The data obtained from market review reports, finance symposium summary, economic and business news, article journals, and some relevant books. While the data analysis technique developed base on conclusion drawing technique in order to fine out a systematical analysis as well as objective conclusion.</w:t>
            </w:r>
          </w:p>
          <w:p w:rsidR="00BE7514" w:rsidRPr="00965547" w:rsidRDefault="00BE7514" w:rsidP="00965547">
            <w:pPr>
              <w:spacing w:before="120" w:after="120"/>
              <w:jc w:val="both"/>
              <w:rPr>
                <w:rFonts w:asciiTheme="majorBidi" w:hAnsiTheme="majorBidi" w:cstheme="majorBidi"/>
                <w:color w:val="222222"/>
                <w:sz w:val="18"/>
                <w:szCs w:val="18"/>
              </w:rPr>
            </w:pPr>
            <w:r w:rsidRPr="00965547">
              <w:rPr>
                <w:rFonts w:asciiTheme="majorBidi" w:hAnsiTheme="majorBidi" w:cstheme="majorBidi"/>
                <w:b/>
                <w:bCs/>
                <w:sz w:val="18"/>
                <w:szCs w:val="18"/>
              </w:rPr>
              <w:t>Findings:</w:t>
            </w:r>
            <w:r w:rsidRPr="00965547">
              <w:rPr>
                <w:rFonts w:asciiTheme="majorBidi" w:hAnsiTheme="majorBidi" w:cstheme="majorBidi"/>
                <w:sz w:val="18"/>
                <w:szCs w:val="18"/>
              </w:rPr>
              <w:t xml:space="preserve"> </w:t>
            </w:r>
            <w:r w:rsidRPr="00965547">
              <w:rPr>
                <w:rFonts w:asciiTheme="majorBidi" w:hAnsiTheme="majorBidi" w:cstheme="majorBidi"/>
                <w:color w:val="222222"/>
                <w:sz w:val="18"/>
                <w:szCs w:val="18"/>
              </w:rPr>
              <w:t xml:space="preserve">The results show that gold investment is really recommended because more profitable and gold performed relatively better than many other assets in the early pandemic stages. Besides, the digital transaction was appointed in the Qur’an, Hadith and </w:t>
            </w:r>
            <w:r w:rsidRPr="00965547">
              <w:rPr>
                <w:rFonts w:asciiTheme="majorBidi" w:hAnsiTheme="majorBidi" w:cstheme="majorBidi"/>
                <w:i/>
                <w:iCs/>
                <w:color w:val="222222"/>
                <w:sz w:val="18"/>
                <w:szCs w:val="18"/>
              </w:rPr>
              <w:t>`</w:t>
            </w:r>
            <w:proofErr w:type="spellStart"/>
            <w:r w:rsidRPr="00965547">
              <w:rPr>
                <w:rFonts w:asciiTheme="majorBidi" w:hAnsiTheme="majorBidi" w:cstheme="majorBidi"/>
                <w:i/>
                <w:iCs/>
                <w:color w:val="222222"/>
                <w:sz w:val="18"/>
                <w:szCs w:val="18"/>
              </w:rPr>
              <w:t>Ijma</w:t>
            </w:r>
            <w:proofErr w:type="spellEnd"/>
            <w:r w:rsidRPr="00965547">
              <w:rPr>
                <w:rFonts w:asciiTheme="majorBidi" w:hAnsiTheme="majorBidi" w:cstheme="majorBidi"/>
                <w:i/>
                <w:iCs/>
                <w:color w:val="222222"/>
                <w:sz w:val="18"/>
                <w:szCs w:val="18"/>
              </w:rPr>
              <w:t>’</w:t>
            </w:r>
            <w:r w:rsidRPr="00965547">
              <w:rPr>
                <w:rFonts w:asciiTheme="majorBidi" w:hAnsiTheme="majorBidi" w:cstheme="majorBidi"/>
                <w:color w:val="222222"/>
                <w:sz w:val="18"/>
                <w:szCs w:val="18"/>
              </w:rPr>
              <w:t xml:space="preserve">. Meanwhile, there are two opinions regarding allowance and prohibition related to digital gold investment. First, it is forbidden due to the payment by credit not cash. In addition to the four </w:t>
            </w:r>
            <w:proofErr w:type="spellStart"/>
            <w:r w:rsidRPr="00965547">
              <w:rPr>
                <w:rFonts w:asciiTheme="majorBidi" w:hAnsiTheme="majorBidi" w:cstheme="majorBidi"/>
                <w:i/>
                <w:iCs/>
                <w:color w:val="222222"/>
                <w:sz w:val="18"/>
                <w:szCs w:val="18"/>
              </w:rPr>
              <w:t>madzhabs</w:t>
            </w:r>
            <w:proofErr w:type="spellEnd"/>
            <w:r w:rsidRPr="00965547">
              <w:rPr>
                <w:rFonts w:asciiTheme="majorBidi" w:hAnsiTheme="majorBidi" w:cstheme="majorBidi"/>
                <w:i/>
                <w:iCs/>
                <w:color w:val="222222"/>
                <w:sz w:val="18"/>
                <w:szCs w:val="18"/>
              </w:rPr>
              <w:t>'</w:t>
            </w:r>
            <w:r w:rsidRPr="00965547">
              <w:rPr>
                <w:rFonts w:asciiTheme="majorBidi" w:hAnsiTheme="majorBidi" w:cstheme="majorBidi"/>
                <w:color w:val="222222"/>
                <w:sz w:val="18"/>
                <w:szCs w:val="18"/>
              </w:rPr>
              <w:t xml:space="preserve"> opinion, this transaction must be complied the cash transaction requirements in order to prevent the usury. The second is </w:t>
            </w:r>
            <w:proofErr w:type="spellStart"/>
            <w:r w:rsidRPr="00965547">
              <w:rPr>
                <w:rFonts w:asciiTheme="majorBidi" w:hAnsiTheme="majorBidi" w:cstheme="majorBidi"/>
                <w:color w:val="222222"/>
                <w:sz w:val="18"/>
                <w:szCs w:val="18"/>
              </w:rPr>
              <w:t>Ibn</w:t>
            </w:r>
            <w:proofErr w:type="spellEnd"/>
            <w:r w:rsidRPr="00965547">
              <w:rPr>
                <w:rFonts w:asciiTheme="majorBidi" w:hAnsiTheme="majorBidi" w:cstheme="majorBidi"/>
                <w:color w:val="222222"/>
                <w:sz w:val="18"/>
                <w:szCs w:val="18"/>
              </w:rPr>
              <w:t xml:space="preserve"> </w:t>
            </w:r>
            <w:proofErr w:type="spellStart"/>
            <w:r w:rsidRPr="00965547">
              <w:rPr>
                <w:rFonts w:asciiTheme="majorBidi" w:hAnsiTheme="majorBidi" w:cstheme="majorBidi"/>
                <w:color w:val="222222"/>
                <w:sz w:val="18"/>
                <w:szCs w:val="18"/>
              </w:rPr>
              <w:t>Taimiyah's</w:t>
            </w:r>
            <w:proofErr w:type="spellEnd"/>
            <w:r w:rsidRPr="00965547">
              <w:rPr>
                <w:rFonts w:asciiTheme="majorBidi" w:hAnsiTheme="majorBidi" w:cstheme="majorBidi"/>
                <w:color w:val="222222"/>
                <w:sz w:val="18"/>
                <w:szCs w:val="18"/>
              </w:rPr>
              <w:t xml:space="preserve"> opinion and DSN-MUI regulation shown that as long as the transaction fulfills the requirement, it is allowed.</w:t>
            </w:r>
          </w:p>
          <w:p w:rsidR="00A5080C" w:rsidRPr="00477254" w:rsidRDefault="00BE7514" w:rsidP="00D32285">
            <w:pPr>
              <w:spacing w:before="120" w:after="120"/>
              <w:jc w:val="both"/>
              <w:rPr>
                <w:rFonts w:ascii="Garamond" w:hAnsi="Garamond" w:cs="AdvOT4ac4c61e+20"/>
                <w:i/>
                <w:iCs/>
                <w:sz w:val="18"/>
                <w:szCs w:val="18"/>
              </w:rPr>
            </w:pPr>
            <w:r w:rsidRPr="00965547">
              <w:rPr>
                <w:rFonts w:asciiTheme="majorBidi" w:hAnsiTheme="majorBidi" w:cstheme="majorBidi"/>
                <w:b/>
                <w:bCs/>
                <w:sz w:val="18"/>
                <w:szCs w:val="18"/>
              </w:rPr>
              <w:t>Originality/Values</w:t>
            </w:r>
            <w:r w:rsidRPr="00965547">
              <w:rPr>
                <w:rFonts w:asciiTheme="majorBidi" w:hAnsiTheme="majorBidi" w:cstheme="majorBidi"/>
                <w:sz w:val="18"/>
                <w:szCs w:val="18"/>
              </w:rPr>
              <w:t xml:space="preserve">: The main contribution of this study concern on filling the gap of how urgency the e-gold investment for </w:t>
            </w:r>
            <w:r w:rsidR="00D32285">
              <w:rPr>
                <w:rFonts w:asciiTheme="majorBidi" w:hAnsiTheme="majorBidi" w:cstheme="majorBidi"/>
                <w:sz w:val="18"/>
                <w:szCs w:val="18"/>
              </w:rPr>
              <w:t xml:space="preserve">recovering the </w:t>
            </w:r>
            <w:r w:rsidRPr="00965547">
              <w:rPr>
                <w:rFonts w:asciiTheme="majorBidi" w:hAnsiTheme="majorBidi" w:cstheme="majorBidi"/>
                <w:sz w:val="18"/>
                <w:szCs w:val="18"/>
              </w:rPr>
              <w:t xml:space="preserve">economic </w:t>
            </w:r>
            <w:r w:rsidR="00D32285">
              <w:rPr>
                <w:rFonts w:asciiTheme="majorBidi" w:hAnsiTheme="majorBidi" w:cstheme="majorBidi"/>
                <w:sz w:val="18"/>
                <w:szCs w:val="18"/>
              </w:rPr>
              <w:t>impact of pandemic</w:t>
            </w:r>
            <w:r w:rsidRPr="00965547">
              <w:rPr>
                <w:rFonts w:asciiTheme="majorBidi" w:hAnsiTheme="majorBidi" w:cstheme="majorBidi"/>
                <w:sz w:val="18"/>
                <w:szCs w:val="18"/>
              </w:rPr>
              <w:t xml:space="preserve"> and how e-gold investment according to </w:t>
            </w:r>
            <w:r w:rsidR="002C45E7">
              <w:rPr>
                <w:rFonts w:asciiTheme="majorBidi" w:hAnsiTheme="majorBidi" w:cstheme="majorBidi"/>
                <w:sz w:val="18"/>
                <w:szCs w:val="18"/>
              </w:rPr>
              <w:t xml:space="preserve">the </w:t>
            </w:r>
            <w:r w:rsidRPr="00965547">
              <w:rPr>
                <w:rFonts w:asciiTheme="majorBidi" w:hAnsiTheme="majorBidi" w:cstheme="majorBidi"/>
                <w:sz w:val="18"/>
                <w:szCs w:val="18"/>
              </w:rPr>
              <w:t>Islamic economic perspective.</w:t>
            </w:r>
            <w:r w:rsidR="00A5080C" w:rsidRPr="00694646">
              <w:rPr>
                <w:rFonts w:ascii="Garamond" w:hAnsi="Garamond" w:cs="AdvOT4ac4c61e+20"/>
                <w:i/>
                <w:iCs/>
                <w:sz w:val="18"/>
                <w:szCs w:val="18"/>
              </w:rPr>
              <w:t xml:space="preserve">  </w:t>
            </w:r>
          </w:p>
        </w:tc>
      </w:tr>
      <w:tr w:rsidR="00A5080C" w:rsidRPr="00694646" w:rsidTr="004252DE">
        <w:trPr>
          <w:jc w:val="center"/>
        </w:trPr>
        <w:tc>
          <w:tcPr>
            <w:tcW w:w="2005" w:type="dxa"/>
            <w:tcBorders>
              <w:left w:val="nil"/>
              <w:right w:val="nil"/>
            </w:tcBorders>
          </w:tcPr>
          <w:p w:rsidR="00A5080C" w:rsidRPr="00DB7F5B" w:rsidRDefault="00A5080C" w:rsidP="004252DE">
            <w:pPr>
              <w:rPr>
                <w:rFonts w:ascii="Garamond" w:hAnsi="Garamond"/>
                <w:sz w:val="18"/>
                <w:szCs w:val="18"/>
              </w:rPr>
            </w:pPr>
            <w:r w:rsidRPr="00DB7F5B">
              <w:rPr>
                <w:rFonts w:ascii="Garamond" w:hAnsi="Garamond"/>
                <w:sz w:val="18"/>
                <w:szCs w:val="18"/>
              </w:rPr>
              <w:t>Article History:</w:t>
            </w:r>
          </w:p>
          <w:p w:rsidR="00A5080C" w:rsidRPr="00694646" w:rsidRDefault="00A5080C" w:rsidP="004252DE">
            <w:pPr>
              <w:rPr>
                <w:rFonts w:ascii="Garamond" w:hAnsi="Garamond"/>
                <w:sz w:val="18"/>
                <w:szCs w:val="18"/>
              </w:rPr>
            </w:pPr>
            <w:r w:rsidRPr="00694646">
              <w:rPr>
                <w:rFonts w:ascii="Garamond" w:hAnsi="Garamond"/>
                <w:sz w:val="18"/>
                <w:szCs w:val="18"/>
              </w:rPr>
              <w:t>Received</w:t>
            </w:r>
            <w:r w:rsidR="00DB7F5B">
              <w:rPr>
                <w:rFonts w:ascii="Garamond" w:hAnsi="Garamond"/>
                <w:sz w:val="18"/>
                <w:szCs w:val="18"/>
              </w:rPr>
              <w:t>:</w:t>
            </w:r>
            <w:r w:rsidRPr="00694646">
              <w:rPr>
                <w:rFonts w:ascii="Garamond" w:hAnsi="Garamond"/>
                <w:sz w:val="18"/>
                <w:szCs w:val="18"/>
              </w:rPr>
              <w:t xml:space="preserve"> </w:t>
            </w:r>
          </w:p>
          <w:p w:rsidR="00A5080C" w:rsidRPr="00694646" w:rsidRDefault="00A5080C" w:rsidP="004252DE">
            <w:pPr>
              <w:rPr>
                <w:rFonts w:ascii="Garamond" w:hAnsi="Garamond"/>
                <w:sz w:val="18"/>
                <w:szCs w:val="18"/>
              </w:rPr>
            </w:pPr>
            <w:r w:rsidRPr="00694646">
              <w:rPr>
                <w:rFonts w:ascii="Garamond" w:hAnsi="Garamond"/>
                <w:sz w:val="18"/>
                <w:szCs w:val="18"/>
              </w:rPr>
              <w:t>Revised</w:t>
            </w:r>
            <w:r w:rsidR="00DB7F5B">
              <w:rPr>
                <w:rFonts w:ascii="Garamond" w:hAnsi="Garamond"/>
                <w:sz w:val="18"/>
                <w:szCs w:val="18"/>
              </w:rPr>
              <w:t>:</w:t>
            </w:r>
            <w:r w:rsidRPr="00694646">
              <w:rPr>
                <w:rFonts w:ascii="Garamond" w:hAnsi="Garamond"/>
                <w:sz w:val="18"/>
                <w:szCs w:val="18"/>
              </w:rPr>
              <w:t xml:space="preserve"> </w:t>
            </w:r>
          </w:p>
          <w:p w:rsidR="00A5080C" w:rsidRPr="00694646" w:rsidRDefault="00A5080C" w:rsidP="00A5080C">
            <w:pPr>
              <w:rPr>
                <w:rFonts w:ascii="Garamond" w:hAnsi="Garamond"/>
                <w:sz w:val="18"/>
                <w:szCs w:val="18"/>
              </w:rPr>
            </w:pPr>
            <w:r w:rsidRPr="00694646">
              <w:rPr>
                <w:rFonts w:ascii="Garamond" w:hAnsi="Garamond"/>
                <w:sz w:val="18"/>
                <w:szCs w:val="18"/>
              </w:rPr>
              <w:t>Accepted</w:t>
            </w:r>
            <w:r w:rsidR="00DB7F5B">
              <w:rPr>
                <w:rFonts w:ascii="Garamond" w:hAnsi="Garamond"/>
                <w:sz w:val="18"/>
                <w:szCs w:val="18"/>
              </w:rPr>
              <w:t>:</w:t>
            </w:r>
            <w:r w:rsidRPr="00694646">
              <w:rPr>
                <w:rFonts w:ascii="Garamond" w:hAnsi="Garamond"/>
                <w:sz w:val="18"/>
                <w:szCs w:val="18"/>
              </w:rPr>
              <w:t xml:space="preserve"> </w:t>
            </w:r>
          </w:p>
        </w:tc>
        <w:tc>
          <w:tcPr>
            <w:tcW w:w="263" w:type="dxa"/>
            <w:vMerge/>
            <w:tcBorders>
              <w:left w:val="nil"/>
              <w:right w:val="nil"/>
            </w:tcBorders>
          </w:tcPr>
          <w:p w:rsidR="00A5080C" w:rsidRPr="00694646" w:rsidRDefault="00A5080C" w:rsidP="004252DE">
            <w:pPr>
              <w:rPr>
                <w:rFonts w:ascii="Garamond" w:hAnsi="Garamond"/>
                <w:sz w:val="18"/>
                <w:szCs w:val="18"/>
              </w:rPr>
            </w:pPr>
          </w:p>
        </w:tc>
        <w:tc>
          <w:tcPr>
            <w:tcW w:w="5103" w:type="dxa"/>
            <w:vMerge/>
            <w:tcBorders>
              <w:left w:val="nil"/>
              <w:right w:val="nil"/>
            </w:tcBorders>
          </w:tcPr>
          <w:p w:rsidR="00A5080C" w:rsidRPr="00694646" w:rsidRDefault="00A5080C" w:rsidP="004252DE">
            <w:pPr>
              <w:rPr>
                <w:rFonts w:ascii="Garamond" w:hAnsi="Garamond"/>
                <w:sz w:val="18"/>
                <w:szCs w:val="18"/>
              </w:rPr>
            </w:pPr>
          </w:p>
        </w:tc>
      </w:tr>
      <w:tr w:rsidR="00A5080C" w:rsidRPr="00694646" w:rsidTr="004252DE">
        <w:trPr>
          <w:jc w:val="center"/>
        </w:trPr>
        <w:tc>
          <w:tcPr>
            <w:tcW w:w="2005" w:type="dxa"/>
            <w:tcBorders>
              <w:left w:val="nil"/>
              <w:right w:val="nil"/>
            </w:tcBorders>
          </w:tcPr>
          <w:p w:rsidR="00A5080C" w:rsidRPr="00DB7F5B" w:rsidRDefault="00A5080C" w:rsidP="004252DE">
            <w:pPr>
              <w:rPr>
                <w:rFonts w:ascii="Garamond" w:hAnsi="Garamond"/>
                <w:b/>
                <w:bCs/>
                <w:sz w:val="18"/>
                <w:szCs w:val="18"/>
              </w:rPr>
            </w:pPr>
            <w:r w:rsidRPr="00DB7F5B">
              <w:rPr>
                <w:rFonts w:ascii="Garamond" w:hAnsi="Garamond"/>
                <w:b/>
                <w:bCs/>
                <w:sz w:val="18"/>
                <w:szCs w:val="18"/>
              </w:rPr>
              <w:t>Keywords:</w:t>
            </w:r>
          </w:p>
          <w:p w:rsidR="00A5080C" w:rsidRDefault="00477254" w:rsidP="009B08DC">
            <w:pPr>
              <w:rPr>
                <w:rFonts w:ascii="Garamond" w:hAnsi="Garamond"/>
                <w:iCs/>
                <w:sz w:val="18"/>
                <w:szCs w:val="18"/>
              </w:rPr>
            </w:pPr>
            <w:r>
              <w:rPr>
                <w:rFonts w:ascii="Garamond" w:hAnsi="Garamond"/>
                <w:iCs/>
                <w:sz w:val="18"/>
                <w:szCs w:val="18"/>
              </w:rPr>
              <w:t>1.</w:t>
            </w:r>
            <w:r w:rsidR="004C5ECD">
              <w:rPr>
                <w:rFonts w:ascii="Garamond" w:hAnsi="Garamond"/>
                <w:iCs/>
                <w:sz w:val="18"/>
                <w:szCs w:val="18"/>
              </w:rPr>
              <w:t xml:space="preserve"> </w:t>
            </w:r>
            <w:r w:rsidR="009B08DC">
              <w:rPr>
                <w:rFonts w:ascii="Garamond" w:hAnsi="Garamond"/>
                <w:iCs/>
                <w:sz w:val="18"/>
                <w:szCs w:val="18"/>
              </w:rPr>
              <w:t>E-</w:t>
            </w:r>
            <w:r w:rsidR="004C5ECD" w:rsidRPr="004C5ECD">
              <w:rPr>
                <w:rFonts w:ascii="Garamond" w:hAnsi="Garamond" w:cs="AdvOT4ac4c61e+20"/>
                <w:sz w:val="18"/>
                <w:szCs w:val="18"/>
              </w:rPr>
              <w:t>Gold;</w:t>
            </w:r>
          </w:p>
          <w:p w:rsidR="00477254" w:rsidRPr="004C5ECD" w:rsidRDefault="00477254" w:rsidP="009B08DC">
            <w:pPr>
              <w:rPr>
                <w:rFonts w:ascii="Garamond" w:hAnsi="Garamond"/>
                <w:sz w:val="18"/>
                <w:szCs w:val="18"/>
              </w:rPr>
            </w:pPr>
            <w:r>
              <w:rPr>
                <w:rFonts w:ascii="Garamond" w:hAnsi="Garamond"/>
                <w:iCs/>
                <w:sz w:val="18"/>
                <w:szCs w:val="18"/>
              </w:rPr>
              <w:t>2.</w:t>
            </w:r>
            <w:r w:rsidR="004C5ECD">
              <w:rPr>
                <w:rFonts w:ascii="Garamond" w:hAnsi="Garamond"/>
                <w:iCs/>
                <w:sz w:val="18"/>
                <w:szCs w:val="18"/>
              </w:rPr>
              <w:t xml:space="preserve"> </w:t>
            </w:r>
            <w:r w:rsidR="009B08DC" w:rsidRPr="004C5ECD">
              <w:rPr>
                <w:rFonts w:ascii="Garamond" w:hAnsi="Garamond" w:cs="AdvOT4ac4c61e+20"/>
                <w:sz w:val="18"/>
                <w:szCs w:val="18"/>
              </w:rPr>
              <w:t xml:space="preserve">Economic </w:t>
            </w:r>
            <w:r w:rsidR="009B08DC">
              <w:rPr>
                <w:rFonts w:ascii="Garamond" w:hAnsi="Garamond" w:cs="AdvOT4ac4c61e+20"/>
                <w:sz w:val="18"/>
                <w:szCs w:val="18"/>
              </w:rPr>
              <w:t>Recovery</w:t>
            </w:r>
            <w:r w:rsidR="004C5ECD" w:rsidRPr="004C5ECD">
              <w:rPr>
                <w:rFonts w:ascii="Garamond" w:hAnsi="Garamond" w:cs="AdvOT4ac4c61e+20"/>
                <w:sz w:val="18"/>
                <w:szCs w:val="18"/>
              </w:rPr>
              <w:t>;</w:t>
            </w:r>
          </w:p>
          <w:p w:rsidR="00477254" w:rsidRDefault="00477254" w:rsidP="009B08DC">
            <w:pPr>
              <w:rPr>
                <w:rFonts w:ascii="Garamond" w:hAnsi="Garamond"/>
                <w:iCs/>
                <w:sz w:val="18"/>
                <w:szCs w:val="18"/>
              </w:rPr>
            </w:pPr>
            <w:r>
              <w:rPr>
                <w:rFonts w:ascii="Garamond" w:hAnsi="Garamond"/>
                <w:iCs/>
                <w:sz w:val="18"/>
                <w:szCs w:val="18"/>
              </w:rPr>
              <w:t>3.</w:t>
            </w:r>
            <w:r w:rsidR="009B08DC">
              <w:rPr>
                <w:rFonts w:ascii="Garamond" w:hAnsi="Garamond"/>
                <w:iCs/>
                <w:sz w:val="18"/>
                <w:szCs w:val="18"/>
              </w:rPr>
              <w:t xml:space="preserve"> Covid-19</w:t>
            </w:r>
            <w:r w:rsidR="004C5ECD" w:rsidRPr="004C5ECD">
              <w:rPr>
                <w:rFonts w:ascii="Garamond" w:hAnsi="Garamond" w:cs="AdvOT4ac4c61e+20"/>
                <w:sz w:val="18"/>
                <w:szCs w:val="18"/>
              </w:rPr>
              <w:t>;</w:t>
            </w:r>
          </w:p>
          <w:p w:rsidR="00477254" w:rsidRPr="004C5ECD" w:rsidRDefault="00477254" w:rsidP="00477254">
            <w:pPr>
              <w:rPr>
                <w:rFonts w:ascii="Garamond" w:hAnsi="Garamond"/>
                <w:sz w:val="18"/>
                <w:szCs w:val="18"/>
              </w:rPr>
            </w:pPr>
            <w:r>
              <w:rPr>
                <w:rFonts w:ascii="Garamond" w:hAnsi="Garamond"/>
                <w:iCs/>
                <w:sz w:val="18"/>
                <w:szCs w:val="18"/>
              </w:rPr>
              <w:t>4.</w:t>
            </w:r>
            <w:r w:rsidR="004C5ECD">
              <w:rPr>
                <w:rFonts w:ascii="Garamond" w:hAnsi="Garamond"/>
                <w:iCs/>
                <w:sz w:val="18"/>
                <w:szCs w:val="18"/>
              </w:rPr>
              <w:t xml:space="preserve"> </w:t>
            </w:r>
            <w:r w:rsidR="004C5ECD" w:rsidRPr="004C5ECD">
              <w:rPr>
                <w:rFonts w:ascii="Garamond" w:hAnsi="Garamond" w:cs="AdvOT4ac4c61e+20"/>
                <w:sz w:val="18"/>
                <w:szCs w:val="18"/>
              </w:rPr>
              <w:t>Islamic Economy;</w:t>
            </w:r>
          </w:p>
          <w:p w:rsidR="00477254" w:rsidRPr="00477254" w:rsidRDefault="00477254" w:rsidP="00477254">
            <w:pPr>
              <w:rPr>
                <w:rFonts w:ascii="Garamond" w:hAnsi="Garamond"/>
                <w:iCs/>
                <w:sz w:val="18"/>
                <w:szCs w:val="18"/>
              </w:rPr>
            </w:pPr>
            <w:r>
              <w:rPr>
                <w:rFonts w:ascii="Garamond" w:hAnsi="Garamond"/>
                <w:iCs/>
                <w:sz w:val="18"/>
                <w:szCs w:val="18"/>
              </w:rPr>
              <w:t>5.</w:t>
            </w:r>
            <w:r w:rsidR="004C5ECD">
              <w:rPr>
                <w:rFonts w:ascii="Garamond" w:hAnsi="Garamond"/>
                <w:iCs/>
                <w:sz w:val="18"/>
                <w:szCs w:val="18"/>
              </w:rPr>
              <w:t xml:space="preserve"> </w:t>
            </w:r>
            <w:proofErr w:type="spellStart"/>
            <w:r w:rsidR="004C5ECD" w:rsidRPr="00DB7F5B">
              <w:rPr>
                <w:rFonts w:ascii="Garamond" w:hAnsi="Garamond" w:cs="AdvOT4ac4c61e+20"/>
                <w:sz w:val="18"/>
                <w:szCs w:val="18"/>
              </w:rPr>
              <w:t>Madzhab</w:t>
            </w:r>
            <w:proofErr w:type="spellEnd"/>
          </w:p>
        </w:tc>
        <w:tc>
          <w:tcPr>
            <w:tcW w:w="263" w:type="dxa"/>
            <w:vMerge/>
            <w:tcBorders>
              <w:left w:val="nil"/>
              <w:right w:val="nil"/>
            </w:tcBorders>
          </w:tcPr>
          <w:p w:rsidR="00A5080C" w:rsidRPr="00694646" w:rsidRDefault="00A5080C" w:rsidP="004252DE">
            <w:pPr>
              <w:rPr>
                <w:rFonts w:ascii="Garamond" w:hAnsi="Garamond"/>
                <w:sz w:val="18"/>
                <w:szCs w:val="18"/>
              </w:rPr>
            </w:pPr>
          </w:p>
        </w:tc>
        <w:tc>
          <w:tcPr>
            <w:tcW w:w="5103" w:type="dxa"/>
            <w:vMerge/>
            <w:tcBorders>
              <w:left w:val="nil"/>
              <w:right w:val="nil"/>
            </w:tcBorders>
          </w:tcPr>
          <w:p w:rsidR="00A5080C" w:rsidRPr="00694646" w:rsidRDefault="00A5080C" w:rsidP="004252DE">
            <w:pPr>
              <w:rPr>
                <w:rFonts w:ascii="Garamond" w:hAnsi="Garamond"/>
                <w:sz w:val="18"/>
                <w:szCs w:val="18"/>
              </w:rPr>
            </w:pPr>
          </w:p>
        </w:tc>
      </w:tr>
      <w:tr w:rsidR="00A5080C" w:rsidRPr="00694646" w:rsidTr="004252DE">
        <w:trPr>
          <w:jc w:val="center"/>
        </w:trPr>
        <w:tc>
          <w:tcPr>
            <w:tcW w:w="2005" w:type="dxa"/>
            <w:tcBorders>
              <w:left w:val="nil"/>
              <w:right w:val="nil"/>
            </w:tcBorders>
          </w:tcPr>
          <w:p w:rsidR="00A5080C" w:rsidRPr="00DB7F5B" w:rsidRDefault="00A5080C" w:rsidP="004252DE">
            <w:pPr>
              <w:tabs>
                <w:tab w:val="left" w:pos="1418"/>
                <w:tab w:val="left" w:pos="1701"/>
              </w:tabs>
              <w:jc w:val="both"/>
              <w:rPr>
                <w:rFonts w:ascii="Garamond" w:hAnsi="Garamond" w:cs="AdvOT4ac4c61e+20"/>
                <w:b/>
                <w:bCs/>
                <w:sz w:val="18"/>
                <w:szCs w:val="18"/>
              </w:rPr>
            </w:pPr>
            <w:r w:rsidRPr="00DB7F5B">
              <w:rPr>
                <w:rFonts w:ascii="Garamond" w:hAnsi="Garamond"/>
                <w:b/>
                <w:bCs/>
                <w:sz w:val="18"/>
                <w:szCs w:val="18"/>
              </w:rPr>
              <w:t>Paper Type:</w:t>
            </w:r>
            <w:r w:rsidRPr="00DB7F5B">
              <w:rPr>
                <w:rFonts w:ascii="Garamond" w:hAnsi="Garamond" w:cs="AdvOT4ac4c61e+20"/>
                <w:b/>
                <w:bCs/>
                <w:sz w:val="18"/>
                <w:szCs w:val="18"/>
              </w:rPr>
              <w:t xml:space="preserve"> </w:t>
            </w:r>
          </w:p>
          <w:p w:rsidR="00A5080C" w:rsidRPr="00694646" w:rsidRDefault="00A5080C" w:rsidP="004252DE">
            <w:pPr>
              <w:tabs>
                <w:tab w:val="left" w:pos="1418"/>
                <w:tab w:val="left" w:pos="1701"/>
              </w:tabs>
              <w:jc w:val="both"/>
              <w:rPr>
                <w:rFonts w:ascii="Garamond" w:hAnsi="Garamond" w:cs="AdvOT4ac4c61e+20"/>
                <w:sz w:val="18"/>
                <w:szCs w:val="18"/>
              </w:rPr>
            </w:pPr>
            <w:r w:rsidRPr="00694646">
              <w:rPr>
                <w:rFonts w:ascii="Garamond" w:hAnsi="Garamond"/>
                <w:sz w:val="18"/>
                <w:szCs w:val="18"/>
              </w:rPr>
              <w:t>Research Paper</w:t>
            </w:r>
          </w:p>
          <w:p w:rsidR="00A5080C" w:rsidRPr="00694646" w:rsidRDefault="00A5080C" w:rsidP="004252DE">
            <w:pPr>
              <w:rPr>
                <w:rFonts w:ascii="Garamond" w:hAnsi="Garamond"/>
                <w:i/>
                <w:iCs/>
                <w:sz w:val="18"/>
                <w:szCs w:val="18"/>
              </w:rPr>
            </w:pPr>
          </w:p>
        </w:tc>
        <w:tc>
          <w:tcPr>
            <w:tcW w:w="263" w:type="dxa"/>
            <w:vMerge/>
            <w:tcBorders>
              <w:left w:val="nil"/>
              <w:right w:val="nil"/>
            </w:tcBorders>
          </w:tcPr>
          <w:p w:rsidR="00A5080C" w:rsidRPr="00694646" w:rsidRDefault="00A5080C" w:rsidP="004252DE">
            <w:pPr>
              <w:rPr>
                <w:rFonts w:ascii="Garamond" w:hAnsi="Garamond"/>
                <w:sz w:val="18"/>
                <w:szCs w:val="18"/>
              </w:rPr>
            </w:pPr>
          </w:p>
        </w:tc>
        <w:tc>
          <w:tcPr>
            <w:tcW w:w="5103" w:type="dxa"/>
            <w:vMerge/>
            <w:tcBorders>
              <w:left w:val="nil"/>
              <w:right w:val="nil"/>
            </w:tcBorders>
          </w:tcPr>
          <w:p w:rsidR="00A5080C" w:rsidRPr="00694646" w:rsidRDefault="00A5080C" w:rsidP="004252DE">
            <w:pPr>
              <w:rPr>
                <w:rFonts w:ascii="Garamond" w:hAnsi="Garamond"/>
                <w:sz w:val="18"/>
                <w:szCs w:val="18"/>
              </w:rPr>
            </w:pPr>
          </w:p>
        </w:tc>
      </w:tr>
    </w:tbl>
    <w:p w:rsidR="00A01C21" w:rsidRPr="00D32285" w:rsidRDefault="008A72D4" w:rsidP="00D32285">
      <w:pPr>
        <w:pStyle w:val="Heading1"/>
        <w:spacing w:before="240" w:after="120" w:line="240" w:lineRule="auto"/>
        <w:rPr>
          <w:rFonts w:asciiTheme="majorBidi" w:hAnsiTheme="majorBidi" w:cstheme="majorBidi"/>
          <w:color w:val="000000"/>
        </w:rPr>
      </w:pPr>
      <w:r w:rsidRPr="00D32285">
        <w:rPr>
          <w:rFonts w:asciiTheme="majorBidi" w:hAnsiTheme="majorBidi" w:cstheme="majorBidi"/>
          <w:color w:val="000000"/>
        </w:rPr>
        <w:t>INTRODUCTION</w:t>
      </w:r>
    </w:p>
    <w:p w:rsidR="003A66C2" w:rsidRPr="00D32285" w:rsidRDefault="003A66C2" w:rsidP="003A66C2">
      <w:pPr>
        <w:pStyle w:val="NormalWeb"/>
        <w:spacing w:before="240" w:beforeAutospacing="0" w:after="0" w:afterAutospacing="0" w:line="300" w:lineRule="auto"/>
        <w:ind w:firstLine="720"/>
        <w:jc w:val="both"/>
        <w:rPr>
          <w:rFonts w:asciiTheme="majorBidi" w:eastAsia="BatangChe" w:hAnsiTheme="majorBidi" w:cstheme="majorBidi"/>
          <w:color w:val="000000"/>
          <w:lang w:eastAsia="ko-KR"/>
        </w:rPr>
      </w:pPr>
      <w:r w:rsidRPr="00D32285">
        <w:rPr>
          <w:rFonts w:asciiTheme="majorBidi" w:eastAsia="BatangChe" w:hAnsiTheme="majorBidi" w:cstheme="majorBidi"/>
          <w:color w:val="000000"/>
          <w:lang w:eastAsia="ko-KR"/>
        </w:rPr>
        <w:t xml:space="preserve">COVID-19 is known to be frequently associated with coagulopathy and thrombotic complications </w:t>
      </w:r>
      <w:r w:rsidRPr="00D32285">
        <w:rPr>
          <w:rFonts w:asciiTheme="majorBidi" w:eastAsia="BatangChe" w:hAnsiTheme="majorBidi" w:cstheme="majorBidi"/>
          <w:color w:val="000000"/>
          <w:lang w:eastAsia="ko-KR"/>
        </w:rPr>
        <w:fldChar w:fldCharType="begin" w:fldLock="1"/>
      </w:r>
      <w:r w:rsidRPr="00D32285">
        <w:rPr>
          <w:rFonts w:asciiTheme="majorBidi" w:eastAsia="BatangChe" w:hAnsiTheme="majorBidi" w:cstheme="majorBidi"/>
          <w:color w:val="000000"/>
          <w:lang w:eastAsia="ko-KR"/>
        </w:rPr>
        <w:instrText>ADDIN CSL_CITATION {"citationItems":[{"id":"ITEM-1","itemData":{"author":[{"dropping-particle":"","family":"Coagulopathy","given":"Covid--associated","non-dropping-particle":"","parse-names":false,"suffix":""},{"dropping-particle":"","family":"Iba","given":"Toshiaki","non-dropping-particle":"","parse-names":false,"suffix":""},{"dropping-particle":"","family":"Warkentin","given":"Theodore E","non-dropping-particle":"","parse-names":false,"suffix":""},{"dropping-particle":"","family":"Thachil","given":"Jecko","non-dropping-particle":"","parse-names":false,"suffix":""},{"dropping-particle":"","family":"Levi","given":"Marcel","non-dropping-particle":"","parse-names":false,"suffix":""},{"dropping-particle":"","family":"Levy","given":"Jerrold H","non-dropping-particle":"","parse-names":false,"suffix":""}],"container-title":"J Clin Med","id":"ITEM-1","issue":"191","issued":{"date-parts":[["2021"]]},"page":"1-9","title":"Proposal of the Definition for","type":"article-journal","volume":"10"},"uris":["http://www.mendeley.com/documents/?uuid=1733148f-b283-46f0-9d56-c05794b60c4b"]}],"mendeley":{"formattedCitation":"(Coagulopathy et al., 2021)","plainTextFormattedCitation":"(Coagulopathy et al., 2021)","previouslyFormattedCitation":"Covid--associated Coagulopathy et al., “Proposal of the Definition For,” &lt;i&gt;J Clin Med&lt;/i&gt; 10, no. 191 (2021): 1–9."},"properties":{"noteIndex":0},"schema":"https://github.com/citation-style-language/schema/raw/master/csl-citation.json"}</w:instrText>
      </w:r>
      <w:r w:rsidRPr="00D32285">
        <w:rPr>
          <w:rFonts w:asciiTheme="majorBidi" w:eastAsia="BatangChe" w:hAnsiTheme="majorBidi" w:cstheme="majorBidi"/>
          <w:color w:val="000000"/>
          <w:lang w:eastAsia="ko-KR"/>
        </w:rPr>
        <w:fldChar w:fldCharType="separate"/>
      </w:r>
      <w:r w:rsidRPr="00D32285">
        <w:rPr>
          <w:rFonts w:asciiTheme="majorBidi" w:eastAsia="BatangChe" w:hAnsiTheme="majorBidi" w:cstheme="majorBidi"/>
          <w:color w:val="000000"/>
          <w:lang w:eastAsia="ko-KR"/>
        </w:rPr>
        <w:t>(Coagulopathy et al., 2021)</w:t>
      </w:r>
      <w:r w:rsidRPr="00D32285">
        <w:rPr>
          <w:rFonts w:asciiTheme="majorBidi" w:eastAsia="BatangChe" w:hAnsiTheme="majorBidi" w:cstheme="majorBidi"/>
          <w:color w:val="000000"/>
          <w:lang w:eastAsia="ko-KR"/>
        </w:rPr>
        <w:fldChar w:fldCharType="end"/>
      </w:r>
      <w:r w:rsidRPr="00D32285">
        <w:rPr>
          <w:rFonts w:asciiTheme="majorBidi" w:eastAsia="BatangChe" w:hAnsiTheme="majorBidi" w:cstheme="majorBidi"/>
          <w:color w:val="000000"/>
          <w:lang w:eastAsia="ko-KR"/>
        </w:rPr>
        <w:t xml:space="preserve">. Coronavirus disease 2019 (COVID-19) is caused by coronavirus 2 causing severe acute respiratory illness (SARS-CoV-2). In December of 2019, the new virus was </w:t>
      </w:r>
      <w:r w:rsidRPr="00D32285">
        <w:rPr>
          <w:rFonts w:asciiTheme="majorBidi" w:eastAsia="BatangChe" w:hAnsiTheme="majorBidi" w:cstheme="majorBidi"/>
          <w:color w:val="000000"/>
          <w:lang w:eastAsia="ko-KR"/>
        </w:rPr>
        <w:lastRenderedPageBreak/>
        <w:t xml:space="preserve">first found in a cluster of individuals with atypical pneumonia in Wuhan, China. By the end of January 2020, it was evident that illnesses were efficiently spreading from person to person and that there was a broader clinical spectrum of infections </w:t>
      </w:r>
      <w:r w:rsidRPr="00D32285">
        <w:rPr>
          <w:rFonts w:asciiTheme="majorBidi" w:eastAsia="BatangChe" w:hAnsiTheme="majorBidi" w:cstheme="majorBidi"/>
          <w:color w:val="000000"/>
          <w:lang w:eastAsia="ko-KR"/>
        </w:rPr>
        <w:fldChar w:fldCharType="begin" w:fldLock="1"/>
      </w:r>
      <w:r w:rsidRPr="00D32285">
        <w:rPr>
          <w:rFonts w:asciiTheme="majorBidi" w:eastAsia="BatangChe" w:hAnsiTheme="majorBidi" w:cstheme="majorBidi"/>
          <w:color w:val="000000"/>
          <w:lang w:eastAsia="ko-KR"/>
        </w:rPr>
        <w:instrText>ADDIN CSL_CITATION {"citationItems":[{"id":"ITEM-1","itemData":{"DOI":"10.1016/S2468-2667(20)30089-X","ISSN":"24682667","PMID":"32330458","abstract":"Background: When a new infectious disease emerges, appropriate case definitions are important for clinical diagnosis and for public health surveillance. Tracking case numbers over time is important to establish the speed of spread and the effectiveness of interventions. We aimed to assess whether changes in case definitions affected inferences on the transmission dynamics of coronavirus disease 2019 (COVID-19) in China. Methods: We examined changes in the case definition for COVID-19 in mainland China during the first epidemic wave. We used exponential growth models to estimate how changes in the case definitions affected the number of cases reported each day. We then inferred how the epidemic curve would have appeared if the same case definition had been used throughout the epidemic. Findings: From Jan 15 to March 3, 2020, seven versions of the case definition for COVID-19 were issued by the National Health Commission in China. We estimated that when the case definitions were changed, the proportion of infections being detected as cases increased by 7·1 times (95% credible interval [CrI] 4·8–10·9) from version 1 to 2, 2·8 times (1·9–4·2) from version 2 to 4, and 4·2 times (2·6–7·3) from version 4 to 5. If the fifth version of the case definition had been applied throughout the outbreak with sufficient testing capacity, we estimated that by Feb 20, 2020, there would have been 232 000 (95% CrI 161 000–359 000) confirmed cases in China as opposed to the 55 508 confirmed cases reported. Interpretation: The case definition was initially narrow and was gradually broadened to allow detection of more cases as knowledge increased, particularly milder cases and those without epidemiological links to Wuhan, China, or other known cases. These changes should be taken into account when making inferences on epidemic growth rates and doubling times, and therefore on the reproductive number, to avoid bias. Funding: Health and Medical Research Fund, Hong Kong.","author":[{"dropping-particle":"","family":"Tsang","given":"Tim K.","non-dropping-particle":"","parse-names":false,"suffix":""},{"dropping-particle":"","family":"Wu","given":"Peng","non-dropping-particle":"","parse-names":false,"suffix":""},{"dropping-particle":"","family":"Lin","given":"Yun","non-dropping-particle":"","parse-names":false,"suffix":""},{"dropping-particle":"","family":"Lau","given":"Eric H.Y.","non-dropping-particle":"","parse-names":false,"suffix":""},{"dropping-particle":"","family":"Leung","given":"Gabriel M.","non-dropping-particle":"","parse-names":false,"suffix":""},{"dropping-particle":"","family":"Cowling","given":"Benjamin J.","non-dropping-particle":"","parse-names":false,"suffix":""}],"container-title":"The Lancet Public Health","id":"ITEM-1","issue":"5","issued":{"date-parts":[["2020"]]},"page":"e289-e296","publisher":"The Author(s). Published by Elsevier Ltd. This is an Open Access article under the CC BY-NC-ND 4.0 license","title":"Effect of changing case definitions for COVID-19 on the epidemic curve and transmission parameters in mainland China: a modelling study","type":"article-journal","volume":"5"},"uris":["http://www.mendeley.com/documents/?uuid=d384c0d4-7b81-4687-a2db-ace839e6db6b"]}],"mendeley":{"formattedCitation":"(Tsang et al., 2020)","plainTextFormattedCitation":"(Tsang et al., 2020)","previouslyFormattedCitation":"Tim K. Tsang et al., “Effect of Changing Case Definitions for COVID-19 on the Epidemic Curve and Transmission Parameters in Mainland China: A Modelling Study,” &lt;i&gt;The Lancet Public Health&lt;/i&gt; 5, no. 5 (2020): e289–96, https://doi.org/10.1016/S2468-2667(20)30089-X."},"properties":{"noteIndex":0},"schema":"https://github.com/citation-style-language/schema/raw/master/csl-citation.json"}</w:instrText>
      </w:r>
      <w:r w:rsidRPr="00D32285">
        <w:rPr>
          <w:rFonts w:asciiTheme="majorBidi" w:eastAsia="BatangChe" w:hAnsiTheme="majorBidi" w:cstheme="majorBidi"/>
          <w:color w:val="000000"/>
          <w:lang w:eastAsia="ko-KR"/>
        </w:rPr>
        <w:fldChar w:fldCharType="separate"/>
      </w:r>
      <w:r w:rsidRPr="00D32285">
        <w:rPr>
          <w:rFonts w:asciiTheme="majorBidi" w:eastAsia="BatangChe" w:hAnsiTheme="majorBidi" w:cstheme="majorBidi"/>
          <w:color w:val="000000"/>
          <w:lang w:eastAsia="ko-KR"/>
        </w:rPr>
        <w:t>(Tsang et al., 2020)</w:t>
      </w:r>
      <w:r w:rsidRPr="00D32285">
        <w:rPr>
          <w:rFonts w:asciiTheme="majorBidi" w:eastAsia="BatangChe" w:hAnsiTheme="majorBidi" w:cstheme="majorBidi"/>
          <w:color w:val="000000"/>
          <w:lang w:eastAsia="ko-KR"/>
        </w:rPr>
        <w:fldChar w:fldCharType="end"/>
      </w:r>
      <w:r w:rsidRPr="00D32285">
        <w:rPr>
          <w:rFonts w:asciiTheme="majorBidi" w:eastAsia="BatangChe" w:hAnsiTheme="majorBidi" w:cstheme="majorBidi"/>
          <w:color w:val="000000"/>
          <w:lang w:eastAsia="ko-KR"/>
        </w:rPr>
        <w:t xml:space="preserve">. Globally, as of 4:15pm CET, 24 January 2023, there have been 664,618,938 confirmed cases of COVID-19, including 6,722,949 deaths, reported to WHO. As of 16 January 2023, a total of 13,131,550,798 vaccine doses have been administered </w:t>
      </w:r>
      <w:r w:rsidRPr="00D32285">
        <w:rPr>
          <w:rFonts w:asciiTheme="majorBidi" w:eastAsia="BatangChe" w:hAnsiTheme="majorBidi" w:cstheme="majorBidi"/>
          <w:color w:val="000000"/>
          <w:lang w:eastAsia="ko-KR"/>
        </w:rPr>
        <w:fldChar w:fldCharType="begin" w:fldLock="1"/>
      </w:r>
      <w:r w:rsidRPr="00D32285">
        <w:rPr>
          <w:rFonts w:asciiTheme="majorBidi" w:eastAsia="BatangChe" w:hAnsiTheme="majorBidi" w:cstheme="majorBidi"/>
          <w:color w:val="000000"/>
          <w:lang w:eastAsia="ko-KR"/>
        </w:rPr>
        <w:instrText>ADDIN CSL_CITATION {"citationItems":[{"id":"ITEM-1","itemData":{"URL":"https://covid19.who.int/","author":[{"dropping-particle":"","family":"World Health Organization","given":"","non-dropping-particle":"","parse-names":false,"suffix":""}],"container-title":"WHO Official Website","id":"ITEM-1","issued":{"date-parts":[["2023"]]},"title":"WHO Coronavirus (COVID-19) Dashboard Overview","type":"webpage"},"uris":["http://www.mendeley.com/documents/?uuid=fdff58c8-ea86-406d-b0e0-dc3c917e07d9"]}],"mendeley":{"formattedCitation":"(World Health Organization, 2023b)","plainTextFormattedCitation":"(World Health Organization, 2023b)","previouslyFormattedCitation":"World Health Organization, “WHO Coronavirus (COVID-19) Dashboard Overview,” WHO Official Website, 2023, https://covid19.who.int/."},"properties":{"noteIndex":0},"schema":"https://github.com/citation-style-language/schema/raw/master/csl-citation.json"}</w:instrText>
      </w:r>
      <w:r w:rsidRPr="00D32285">
        <w:rPr>
          <w:rFonts w:asciiTheme="majorBidi" w:eastAsia="BatangChe" w:hAnsiTheme="majorBidi" w:cstheme="majorBidi"/>
          <w:color w:val="000000"/>
          <w:lang w:eastAsia="ko-KR"/>
        </w:rPr>
        <w:fldChar w:fldCharType="separate"/>
      </w:r>
      <w:r w:rsidRPr="00D32285">
        <w:rPr>
          <w:rFonts w:asciiTheme="majorBidi" w:eastAsia="BatangChe" w:hAnsiTheme="majorBidi" w:cstheme="majorBidi"/>
          <w:color w:val="000000"/>
          <w:lang w:eastAsia="ko-KR"/>
        </w:rPr>
        <w:t>(World Health Organization, 2023b)</w:t>
      </w:r>
      <w:r w:rsidRPr="00D32285">
        <w:rPr>
          <w:rFonts w:asciiTheme="majorBidi" w:eastAsia="BatangChe" w:hAnsiTheme="majorBidi" w:cstheme="majorBidi"/>
          <w:color w:val="000000"/>
          <w:lang w:eastAsia="ko-KR"/>
        </w:rPr>
        <w:fldChar w:fldCharType="end"/>
      </w:r>
      <w:r w:rsidRPr="00D32285">
        <w:rPr>
          <w:rFonts w:asciiTheme="majorBidi" w:eastAsia="BatangChe" w:hAnsiTheme="majorBidi" w:cstheme="majorBidi"/>
          <w:color w:val="000000"/>
          <w:lang w:eastAsia="ko-KR"/>
        </w:rPr>
        <w:t xml:space="preserve">. In Indonesia, from 3 January 2020 to 4:15pm CET, 24 January 2023, there have been 6,728,402 confirmed cases of COVID-19 with 160,793 deaths, reported to WHO. As of 16 January 2023, a total of 444,303,130 vaccine doses have been administered </w:t>
      </w:r>
      <w:r w:rsidRPr="00D32285">
        <w:rPr>
          <w:rFonts w:asciiTheme="majorBidi" w:eastAsia="BatangChe" w:hAnsiTheme="majorBidi" w:cstheme="majorBidi"/>
          <w:color w:val="000000"/>
          <w:lang w:eastAsia="ko-KR"/>
        </w:rPr>
        <w:fldChar w:fldCharType="begin" w:fldLock="1"/>
      </w:r>
      <w:r w:rsidRPr="00D32285">
        <w:rPr>
          <w:rFonts w:asciiTheme="majorBidi" w:eastAsia="BatangChe" w:hAnsiTheme="majorBidi" w:cstheme="majorBidi"/>
          <w:color w:val="000000"/>
          <w:lang w:eastAsia="ko-KR"/>
        </w:rPr>
        <w:instrText>ADDIN CSL_CITATION {"citationItems":[{"id":"ITEM-1","itemData":{"URL":"https://covid19.who.int/region/searo/country/id","author":[{"dropping-particle":"","family":"World Health Organization","given":"","non-dropping-particle":"","parse-names":false,"suffix":""}],"container-title":"WHO Official Website","id":"ITEM-1","issued":{"date-parts":[["2023"]]},"title":"WHO Coronavirus (COVID-19) Country Overview","type":"webpage"},"uris":["http://www.mendeley.com/documents/?uuid=f888e51b-f6b3-4b6b-a43a-f7a23e06ed2e"]}],"mendeley":{"formattedCitation":"(World Health Organization, 2023a)","plainTextFormattedCitation":"(World Health Organization, 2023a)","previouslyFormattedCitation":"World Health Organization, “WHO Coronavirus (COVID-19) Country Overview,” WHO Official Website, 2023, https://covid19.who.int/region/searo/country/id."},"properties":{"noteIndex":0},"schema":"https://github.com/citation-style-language/schema/raw/master/csl-citation.json"}</w:instrText>
      </w:r>
      <w:r w:rsidRPr="00D32285">
        <w:rPr>
          <w:rFonts w:asciiTheme="majorBidi" w:eastAsia="BatangChe" w:hAnsiTheme="majorBidi" w:cstheme="majorBidi"/>
          <w:color w:val="000000"/>
          <w:lang w:eastAsia="ko-KR"/>
        </w:rPr>
        <w:fldChar w:fldCharType="separate"/>
      </w:r>
      <w:r w:rsidRPr="00D32285">
        <w:rPr>
          <w:rFonts w:asciiTheme="majorBidi" w:eastAsia="BatangChe" w:hAnsiTheme="majorBidi" w:cstheme="majorBidi"/>
          <w:color w:val="000000"/>
          <w:lang w:eastAsia="ko-KR"/>
        </w:rPr>
        <w:t>(World Health Organization, 2023a)</w:t>
      </w:r>
      <w:r w:rsidRPr="00D32285">
        <w:rPr>
          <w:rFonts w:asciiTheme="majorBidi" w:eastAsia="BatangChe" w:hAnsiTheme="majorBidi" w:cstheme="majorBidi"/>
          <w:color w:val="000000"/>
          <w:lang w:eastAsia="ko-KR"/>
        </w:rPr>
        <w:fldChar w:fldCharType="end"/>
      </w:r>
      <w:r w:rsidRPr="00D32285">
        <w:rPr>
          <w:rFonts w:asciiTheme="majorBidi" w:eastAsia="BatangChe" w:hAnsiTheme="majorBidi" w:cstheme="majorBidi"/>
          <w:color w:val="000000"/>
          <w:lang w:eastAsia="ko-KR"/>
        </w:rPr>
        <w:t>.</w:t>
      </w:r>
    </w:p>
    <w:p w:rsidR="003A66C2" w:rsidRPr="00D32285" w:rsidRDefault="003A66C2" w:rsidP="003A66C2">
      <w:pPr>
        <w:pStyle w:val="NormalWeb"/>
        <w:spacing w:before="0" w:beforeAutospacing="0" w:after="0" w:afterAutospacing="0" w:line="300" w:lineRule="auto"/>
        <w:ind w:firstLine="720"/>
        <w:jc w:val="both"/>
        <w:rPr>
          <w:rFonts w:asciiTheme="majorBidi" w:eastAsia="BatangChe" w:hAnsiTheme="majorBidi" w:cstheme="majorBidi"/>
          <w:color w:val="000000"/>
          <w:lang w:eastAsia="ko-KR"/>
        </w:rPr>
      </w:pPr>
      <w:r w:rsidRPr="00D32285">
        <w:rPr>
          <w:rFonts w:asciiTheme="majorBidi" w:eastAsia="BatangChe" w:hAnsiTheme="majorBidi" w:cstheme="majorBidi"/>
          <w:color w:val="000000"/>
          <w:lang w:eastAsia="ko-KR"/>
        </w:rPr>
        <w:t xml:space="preserve">The COVID-19 pandemic has had an extraordinary impact on the world economy and the affected countries. The threat of recession and depression is in sight. To prevent, or at least reduce, the rate of transmission, a number of affected countries have implemented lock-downs, regional quarantines, and large-scale social restrictions. A number of flights were suspended in many countries. Land and sea transportation are also restricted. A number of industries stopped production </w:t>
      </w:r>
      <w:r w:rsidRPr="00D32285">
        <w:rPr>
          <w:rFonts w:asciiTheme="majorBidi" w:eastAsia="BatangChe" w:hAnsiTheme="majorBidi" w:cstheme="majorBidi"/>
          <w:color w:val="000000"/>
          <w:lang w:eastAsia="ko-KR"/>
        </w:rPr>
        <w:fldChar w:fldCharType="begin" w:fldLock="1"/>
      </w:r>
      <w:r w:rsidRPr="00D32285">
        <w:rPr>
          <w:rFonts w:asciiTheme="majorBidi" w:eastAsia="BatangChe" w:hAnsiTheme="majorBidi" w:cstheme="majorBidi"/>
          <w:color w:val="000000"/>
          <w:lang w:eastAsia="ko-KR"/>
        </w:rPr>
        <w:instrText>ADDIN CSL_CITATION {"citationItems":[{"id":"ITEM-1","itemData":{"abstract":"Pandemi COVID-19 telah menimbulkan dampak multisektor, termasuk mengganggu pertumbuhan ekonomi banyak negara. Penelitian ini bertujuan menganalisis dampak pandemi COVID-19 serta perbedaan kawasan dan status negara terhadap pertumbuhan ekonomi negara-negara terdampak. Metode yang digunakan adalah metode kuantitatif dengan sampel jenuh 135 negara, dan pendekatan analisis regresi dengan dummy variable. Hasil penelitian menunjukkan, variabel kasus pandemi, waktu paparan, jumlah penduduk, perbedaan kawasan dan perbedaan status negara mempengaruhi pertumbuhan ekonomi negara terdampak (R² 0.6373). Jika pandemi terkendali serta tidak ada disparitas tatakelola antara kawasan dan antar status negara, maka pertumbuhan ekonomi global berpotensi positif 0.18%. Tatakelola pandemi di kawasan Asia, Amerika dan Afrika berbeda signifikans dengan tatakelola di kawasan Australia. Negara miskin berbeda dengan negara maju, tapi tidak berbeda dengan negara menengah dalam menata kelola pandemi di wilayahnya. Secara relatif dampak pandemi di kawasan Asia, Amerika dan Afrika lebih berat dibanding kawasan lainnya.","author":[{"dropping-particle":"","family":"Junaedi","given":"Dedi","non-dropping-particle":"","parse-names":false,"suffix":""},{"dropping-particle":"","family":"Salistia","given":"Faisal","non-dropping-particle":"","parse-names":false,"suffix":""}],"container-title":"Simposium Nasional Keuangan Negara","id":"ITEM-1","issued":{"date-parts":[["2020"]]},"page":"995-1115","title":"Dampak Pandemi COVID-19 Terhadap Pertumbuhan Ekonomi Negara-Negara Terdampak","type":"article"},"uris":["http://www.mendeley.com/documents/?uuid=116e5fc2-80d9-498a-b752-fa4c81dcd084"]}],"mendeley":{"formattedCitation":"(Junaedi &amp; Salistia, 2020)","plainTextFormattedCitation":"(Junaedi &amp; Salistia, 2020)","previouslyFormattedCitation":"Dedi Junaedi and Faisal Salistia, “Dampak Pandemi COVID-19 Terhadap Pertumbuhan Ekonomi Negara-Negara Terdampak,” &lt;i&gt;Simposium Nasional Keuangan Negara&lt;/i&gt;, 2020."},"properties":{"noteIndex":0},"schema":"https://github.com/citation-style-language/schema/raw/master/csl-citation.json"}</w:instrText>
      </w:r>
      <w:r w:rsidRPr="00D32285">
        <w:rPr>
          <w:rFonts w:asciiTheme="majorBidi" w:eastAsia="BatangChe" w:hAnsiTheme="majorBidi" w:cstheme="majorBidi"/>
          <w:color w:val="000000"/>
          <w:lang w:eastAsia="ko-KR"/>
        </w:rPr>
        <w:fldChar w:fldCharType="separate"/>
      </w:r>
      <w:r w:rsidRPr="00D32285">
        <w:rPr>
          <w:rFonts w:asciiTheme="majorBidi" w:eastAsia="BatangChe" w:hAnsiTheme="majorBidi" w:cstheme="majorBidi"/>
          <w:color w:val="000000"/>
          <w:lang w:eastAsia="ko-KR"/>
        </w:rPr>
        <w:t>(Junaedi &amp; Salistia, 2020)</w:t>
      </w:r>
      <w:r w:rsidRPr="00D32285">
        <w:rPr>
          <w:rFonts w:asciiTheme="majorBidi" w:eastAsia="BatangChe" w:hAnsiTheme="majorBidi" w:cstheme="majorBidi"/>
          <w:color w:val="000000"/>
          <w:lang w:eastAsia="ko-KR"/>
        </w:rPr>
        <w:fldChar w:fldCharType="end"/>
      </w:r>
      <w:r w:rsidRPr="00D32285">
        <w:rPr>
          <w:rFonts w:asciiTheme="majorBidi" w:eastAsia="BatangChe" w:hAnsiTheme="majorBidi" w:cstheme="majorBidi"/>
          <w:color w:val="000000"/>
          <w:lang w:eastAsia="ko-KR"/>
        </w:rPr>
        <w:t xml:space="preserve">. Based on study which was conducted by </w:t>
      </w:r>
      <w:proofErr w:type="spellStart"/>
      <w:r w:rsidRPr="00D32285">
        <w:rPr>
          <w:rFonts w:asciiTheme="majorBidi" w:eastAsia="BatangChe" w:hAnsiTheme="majorBidi" w:cstheme="majorBidi"/>
          <w:color w:val="000000"/>
          <w:lang w:eastAsia="ko-KR"/>
        </w:rPr>
        <w:t>Nasution</w:t>
      </w:r>
      <w:proofErr w:type="spellEnd"/>
      <w:r w:rsidRPr="00D32285">
        <w:rPr>
          <w:rFonts w:asciiTheme="majorBidi" w:eastAsia="BatangChe" w:hAnsiTheme="majorBidi" w:cstheme="majorBidi"/>
          <w:color w:val="000000"/>
          <w:lang w:eastAsia="ko-KR"/>
        </w:rPr>
        <w:t xml:space="preserve"> at all (2020) shown the impact of the Covid-19 pandemic resulted in a lack of investor trust in the market, which in turn caused the market to tend to be negative. In order to deliver economic direction, strategic fiscal and monetary actions are required. In addition, the slow pace of the world economy, particularly Indonesian export activities to China, has a substantial impact on the economy of Indonesia </w:t>
      </w:r>
      <w:r w:rsidRPr="00D32285">
        <w:rPr>
          <w:rFonts w:asciiTheme="majorBidi" w:eastAsia="BatangChe" w:hAnsiTheme="majorBidi" w:cstheme="majorBidi"/>
          <w:color w:val="000000"/>
          <w:lang w:eastAsia="ko-KR"/>
        </w:rPr>
        <w:fldChar w:fldCharType="begin" w:fldLock="1"/>
      </w:r>
      <w:r w:rsidRPr="00D32285">
        <w:rPr>
          <w:rFonts w:asciiTheme="majorBidi" w:eastAsia="BatangChe" w:hAnsiTheme="majorBidi" w:cstheme="majorBidi"/>
          <w:color w:val="000000"/>
          <w:lang w:eastAsia="ko-KR"/>
        </w:rPr>
        <w:instrText>ADDIN CSL_CITATION {"citationItems":[{"id":"ITEM-1","itemData":{"DOI":"10.22216/jbe.v5i2.5313","abstract":"&lt;p&gt;&lt;em&gt;This study aims to determine the impact of the COVID-19 pandemic on the Indonesian economy. Until this research was written, 93 countries were found infected with COVID-19. The spread of COVID-19 which had spread eventually brought very bad risks to the world economy, including Indonesia, especially in terms of tourism, trade and investment. The method used in this research is descriptive quantitative method that uses an approach called secondary data analysis, which is a research methodology that uses secondary data as the main data source. Based on the results of the study, Indonesia is currently still in a stable economic situation. Strategic steps related to fiscal and monetary are also estimated to still have room to provide economic stimulus if needed. However, as the COVID-19 pandemic case developed, the market did fluctuate more in the negative direction. Not only that, the slow pace of Indonesia's export activities to China will also have a significant impact on the economy in Indonesia.&lt;/em&gt;&lt;/p&gt;&lt;p&gt;&lt;em&gt;&lt;br /&gt;&lt;/em&gt;&lt;/p&gt;&lt;p&gt;&lt;em&gt;Penelitian ini bertujuan untuk mengetahui dampak pandemi COVID-19 terhadap perekonomian Indonesia. Hingga penelitian ini ditulis ditemukan 93 negara yang telah terjangkit COVID-19. Pandemi COVID-19 yang telah menyebar pada akhirnya membawa risiko yang sangat buruk bagi perekonomian dunia termasuk Indonesia khususnya dari sisi pariwisata, perdagangan serta investasi. Metode yang digunakan dalam penelitian ini adalah metode kuantitatif deskriptif dengan menggunakan pendekatan analisis data sekunder. Berdasarkan hasil penelitian, dampak pandemi COVID-19 menyebabkan rendahnya sentimen investor terhadap pasar yang pada akhirnya membawa pasar ke arah cenderung negatif. Langkah-langkah strategis terkait fiskal dan moneter sangat dibutuhkan untuk memberikan rangsangan ekonomi. Seiring berkembangnya kasus pandemi COVID-19, pasar lebih berfluktuasi ke arah yang negatif. Tidak hanya itu saja, lambatnya ekonomi global khususnya kegiatan ekspor Indonesia ke China juga berdampak signifikan terhadap perekonomian Indonesia. Hal tersebut berdasarkan analisis sensitivitas yang menjelaskan bahwa lambatnya ekonomi global saat ini sangat berdampak terhadap pertumbuhan perekonomian Indonesia.&lt;/em&gt;&lt;/p&gt;","author":[{"dropping-particle":"","family":"Nasution","given":"Dito Aditia Darma","non-dropping-particle":"","parse-names":false,"suffix":""},{"dropping-particle":"","family":"Erlina","given":"Erlina","non-dropping-particle":"","parse-names":false,"suffix":""},{"dropping-particle":"","family":"Muda","given":"Iskandar","non-dropping-particle":"","parse-names":false,"suffix":""}],"container-title":"Jurnal Benefita","id":"ITEM-1","issue":"2","issued":{"date-parts":[["2020"]]},"page":"212","title":"Dampak Pandemi COVID-19 terhadap Perekonomian Indonesia","type":"article-journal","volume":"5"},"uris":["http://www.mendeley.com/documents/?uuid=d54df34f-ceb4-47a0-8864-723008b177f9"]}],"mendeley":{"formattedCitation":"(Nasution et al., 2020)","plainTextFormattedCitation":"(Nasution et al., 2020)","previouslyFormattedCitation":"Dito Aditia Darma Nasution, Erlina Erlina, and Iskandar Muda, “Dampak Pandemi COVID-19 Terhadap Perekonomian Indonesia,” &lt;i&gt;Jurnal Benefita&lt;/i&gt; 5, no. 2 (2020): 212, https://doi.org/10.22216/jbe.v5i2.5313."},"properties":{"noteIndex":0},"schema":"https://github.com/citation-style-language/schema/raw/master/csl-citation.json"}</w:instrText>
      </w:r>
      <w:r w:rsidRPr="00D32285">
        <w:rPr>
          <w:rFonts w:asciiTheme="majorBidi" w:eastAsia="BatangChe" w:hAnsiTheme="majorBidi" w:cstheme="majorBidi"/>
          <w:color w:val="000000"/>
          <w:lang w:eastAsia="ko-KR"/>
        </w:rPr>
        <w:fldChar w:fldCharType="separate"/>
      </w:r>
      <w:r w:rsidRPr="00D32285">
        <w:rPr>
          <w:rFonts w:asciiTheme="majorBidi" w:eastAsia="BatangChe" w:hAnsiTheme="majorBidi" w:cstheme="majorBidi"/>
          <w:color w:val="000000"/>
          <w:lang w:eastAsia="ko-KR"/>
        </w:rPr>
        <w:t>(Nasution et al., 2020)</w:t>
      </w:r>
      <w:r w:rsidRPr="00D32285">
        <w:rPr>
          <w:rFonts w:asciiTheme="majorBidi" w:eastAsia="BatangChe" w:hAnsiTheme="majorBidi" w:cstheme="majorBidi"/>
          <w:color w:val="000000"/>
          <w:lang w:eastAsia="ko-KR"/>
        </w:rPr>
        <w:fldChar w:fldCharType="end"/>
      </w:r>
      <w:r w:rsidRPr="00D32285">
        <w:rPr>
          <w:rFonts w:asciiTheme="majorBidi" w:eastAsia="BatangChe" w:hAnsiTheme="majorBidi" w:cstheme="majorBidi"/>
          <w:color w:val="000000"/>
          <w:lang w:eastAsia="ko-KR"/>
        </w:rPr>
        <w:t>.</w:t>
      </w:r>
    </w:p>
    <w:p w:rsidR="003A66C2" w:rsidRPr="00D32285" w:rsidRDefault="003A66C2" w:rsidP="003A66C2">
      <w:pPr>
        <w:pStyle w:val="NormalWeb"/>
        <w:spacing w:before="0" w:beforeAutospacing="0" w:after="0" w:afterAutospacing="0" w:line="300" w:lineRule="auto"/>
        <w:ind w:firstLine="720"/>
        <w:jc w:val="both"/>
        <w:rPr>
          <w:rFonts w:asciiTheme="majorBidi" w:eastAsia="BatangChe" w:hAnsiTheme="majorBidi" w:cstheme="majorBidi"/>
          <w:color w:val="000000"/>
          <w:lang w:eastAsia="ko-KR"/>
        </w:rPr>
      </w:pPr>
      <w:r w:rsidRPr="00D32285">
        <w:rPr>
          <w:rFonts w:asciiTheme="majorBidi" w:eastAsia="BatangChe" w:hAnsiTheme="majorBidi" w:cstheme="majorBidi"/>
          <w:color w:val="000000"/>
          <w:lang w:eastAsia="ko-KR"/>
        </w:rPr>
        <w:t xml:space="preserve">As on 1st January 2023, Government announce the transition phase of Covid-19 status from pandemic to endemic </w:t>
      </w:r>
      <w:r w:rsidRPr="00D32285">
        <w:rPr>
          <w:rFonts w:asciiTheme="majorBidi" w:eastAsia="BatangChe" w:hAnsiTheme="majorBidi" w:cstheme="majorBidi"/>
          <w:color w:val="000000"/>
          <w:lang w:eastAsia="ko-KR"/>
        </w:rPr>
        <w:fldChar w:fldCharType="begin" w:fldLock="1"/>
      </w:r>
      <w:r w:rsidRPr="00D32285">
        <w:rPr>
          <w:rFonts w:asciiTheme="majorBidi" w:eastAsia="BatangChe" w:hAnsiTheme="majorBidi" w:cstheme="majorBidi"/>
          <w:color w:val="000000"/>
          <w:lang w:eastAsia="ko-KR"/>
        </w:rPr>
        <w:instrText>ADDIN CSL_CITATION {"citationItems":[{"id":"ITEM-1","itemData":{"author":[{"dropping-particle":"","family":"Saubani","given":"Andri","non-dropping-particle":"","parse-names":false,"suffix":""}],"container-title":"Republika.co.id","id":"ITEM-1","issued":{"date-parts":[["2022"]]},"title":"PPKM Dicabut, Indonesia Masuki Masa Transisi dari Pandemi ke Endemi","type":"article-newspaper"},"uris":["http://www.mendeley.com/documents/?uuid=e70a0270-c970-46dd-873b-f5a40d7e2a81"]}],"mendeley":{"formattedCitation":"(Saubani, 2022)","plainTextFormattedCitation":"(Saubani, 2022)","previouslyFormattedCitation":"Andri Saubani, “PPKM Dicabut, Indonesia Masuki Masa Transisi Dari Pandemi Ke Endemi,” &lt;i&gt;Republika.Co.Id&lt;/i&gt;, 2022, https://www.republika.co.id/berita/rnpn7r409/ppkm-dicabut-indonesia-masuki-masa-transisi-dari-pandemi-ke-endemi."},"properties":{"noteIndex":0},"schema":"https://github.com/citation-style-language/schema/raw/master/csl-citation.json"}</w:instrText>
      </w:r>
      <w:r w:rsidRPr="00D32285">
        <w:rPr>
          <w:rFonts w:asciiTheme="majorBidi" w:eastAsia="BatangChe" w:hAnsiTheme="majorBidi" w:cstheme="majorBidi"/>
          <w:color w:val="000000"/>
          <w:lang w:eastAsia="ko-KR"/>
        </w:rPr>
        <w:fldChar w:fldCharType="separate"/>
      </w:r>
      <w:r w:rsidRPr="00D32285">
        <w:rPr>
          <w:rFonts w:asciiTheme="majorBidi" w:eastAsia="BatangChe" w:hAnsiTheme="majorBidi" w:cstheme="majorBidi"/>
          <w:color w:val="000000"/>
          <w:lang w:eastAsia="ko-KR"/>
        </w:rPr>
        <w:t>(Saubani, 2022)</w:t>
      </w:r>
      <w:r w:rsidRPr="00D32285">
        <w:rPr>
          <w:rFonts w:asciiTheme="majorBidi" w:eastAsia="BatangChe" w:hAnsiTheme="majorBidi" w:cstheme="majorBidi"/>
          <w:color w:val="000000"/>
          <w:lang w:eastAsia="ko-KR"/>
        </w:rPr>
        <w:fldChar w:fldCharType="end"/>
      </w:r>
      <w:r w:rsidRPr="00D32285">
        <w:rPr>
          <w:rFonts w:asciiTheme="majorBidi" w:eastAsia="BatangChe" w:hAnsiTheme="majorBidi" w:cstheme="majorBidi"/>
          <w:color w:val="000000"/>
          <w:lang w:eastAsia="ko-KR"/>
        </w:rPr>
        <w:t xml:space="preserve">. Even though, effect of pandemic Covid-19 still affected to the community especially for economic sectors. The economic recession led to an increase in unemployment, especially among micro- and small-scale firms or domestic industries, and the pandemic COVID-19 contributed to an increase in poverty. Greater numbers of poor families were found in locations with near-poor and vulnerable households </w:t>
      </w:r>
      <w:r w:rsidRPr="00D32285">
        <w:rPr>
          <w:rFonts w:asciiTheme="majorBidi" w:eastAsia="BatangChe" w:hAnsiTheme="majorBidi" w:cstheme="majorBidi"/>
          <w:color w:val="000000"/>
          <w:lang w:eastAsia="ko-KR"/>
        </w:rPr>
        <w:fldChar w:fldCharType="begin" w:fldLock="1"/>
      </w:r>
      <w:r w:rsidRPr="00D32285">
        <w:rPr>
          <w:rFonts w:asciiTheme="majorBidi" w:eastAsia="BatangChe" w:hAnsiTheme="majorBidi" w:cstheme="majorBidi"/>
          <w:color w:val="000000"/>
          <w:lang w:eastAsia="ko-KR"/>
        </w:rPr>
        <w:instrText>ADDIN CSL_CITATION {"citationItems":[{"id":"ITEM-1","itemData":{"DOI":"10.33658/jl.v17i1.249","ISSN":"1978-2306","abstract":"ENGLISHCOVID-19 Pandemic started from March 2020 affected many aspects. This research aims to describe the impacts of pandemic on health, economic, and social in Pati District. It used both qualitative and quantitative approaches. It used secondary data that were obtained from relevant services and references. Then, the data were analyzed descriptively. This research resulted: (1) the impacts of the COVID-19 pandemic on health can be seen through the number of positive COVID-19 cases, mortality, and reduction in health service coverage. Higher positive COVID-19 cases were found in around the center of government and economic activities; (2) COVID-19 Pandemic has disturbed supply and demand of goods and services. This situation affected the decrease of economic growth. Pati’s economic structure is sustained by agriculture and manufactured that still showed positive growth. Thus, the economic slowdown caused the increase of unemployment, particularly on micro and small enterprises or household industries; (3) the impact of pandemic COVID-19 was represented by the poverty increase. Higher number of poor families was found in the areas having near-poor families and vulnerable ones. INDONESIAPandemi COVID-19 yang terjadi sejak bulan Maret 2020 memengaruhi segala aspek kehidupan. Tujuan penelitian adalah mendeskripsikan dampak pandemi dalam aspek kesehatan, ekonomi, dan kesehatan di Kabupaten Pati. Penelitian menggunakan pendekatan kualitatif dan kuantitatif secara bersama. Data yang digunakan adalah data sekunder yang diperoleh dari instansi maupun referensi yang relevan. Selanjutnya data tersebut diolah secara kualitatif dan kuantitatif. Hasil penelitian adalah (1) Dampak pandemi COVID-19 pada aspek kesehatan adalah jumlah kasus positif dan kematian yang cukup tinggi serta penurunan cakupan sebagian besar layanan kesehatan; kasus positif COVID-19 cukup tinggi terjadi di wilayah yang merupakan pusat pemerintahan atau dekat dengan pusat ekonomi; (2) Pandemi COVID-19 menyebabkan perubahan penawaran dan permintaan barang dan jasa. Kondisi tersebut berdampak terhadap penurunan pertumbuhan ekonomi. Struktur perekonomian Kabupaten Pati ditopang oleh sektor usaha pertanian dan industri pengolahan yang masih menunjukkan pertumbuhan positif selama pandemi. Perlambatan ekonomi tersebut selanjutnya menyebabkan peningkatan pengangguran, terutama pada sektor usaha mikro dan kecil serta industri rumah tangga; (3) Dampak sosial pandemi COVID-19 di Kabupaten Pati terwakili …","author":[{"dropping-particle":"","family":"Aeni","given":"Nurul","non-dropping-particle":"","parse-names":false,"suffix":""}],"container-title":"Jurnal Litbang: Media Informasi Penelitian, Pengembangan dan IPTEK","id":"ITEM-1","issue":"1","issued":{"date-parts":[["2021"]]},"page":"17-34","title":"Pandemi COVID-19: Dampak Kesehatan, Ekonomi, &amp; Sosial","type":"article-journal","volume":"17"},"uris":["http://www.mendeley.com/documents/?uuid=62565666-bee6-4b1f-84dc-eb038fd9e027"]}],"mendeley":{"formattedCitation":"(Aeni, 2021)","plainTextFormattedCitation":"(Aeni, 2021)","previouslyFormattedCitation":"Nurul Aeni, “Pandemi COVID-19: Dampak Kesehatan, Ekonomi, &amp; Sosial,” &lt;i&gt;Jurnal Litbang: Media Informasi Penelitian, Pengembangan Dan IPTEK&lt;/i&gt; 17, no. 1 (2021): 17–34, https://doi.org/10.33658/jl.v17i1.249."},"properties":{"noteIndex":0},"schema":"https://github.com/citation-style-language/schema/raw/master/csl-citation.json"}</w:instrText>
      </w:r>
      <w:r w:rsidRPr="00D32285">
        <w:rPr>
          <w:rFonts w:asciiTheme="majorBidi" w:eastAsia="BatangChe" w:hAnsiTheme="majorBidi" w:cstheme="majorBidi"/>
          <w:color w:val="000000"/>
          <w:lang w:eastAsia="ko-KR"/>
        </w:rPr>
        <w:fldChar w:fldCharType="separate"/>
      </w:r>
      <w:r w:rsidRPr="00D32285">
        <w:rPr>
          <w:rFonts w:asciiTheme="majorBidi" w:eastAsia="BatangChe" w:hAnsiTheme="majorBidi" w:cstheme="majorBidi"/>
          <w:color w:val="000000"/>
          <w:lang w:eastAsia="ko-KR"/>
        </w:rPr>
        <w:t>(Aeni, 2021)</w:t>
      </w:r>
      <w:r w:rsidRPr="00D32285">
        <w:rPr>
          <w:rFonts w:asciiTheme="majorBidi" w:eastAsia="BatangChe" w:hAnsiTheme="majorBidi" w:cstheme="majorBidi"/>
          <w:color w:val="000000"/>
          <w:lang w:eastAsia="ko-KR"/>
        </w:rPr>
        <w:fldChar w:fldCharType="end"/>
      </w:r>
      <w:r w:rsidRPr="00D32285">
        <w:rPr>
          <w:rFonts w:asciiTheme="majorBidi" w:eastAsia="BatangChe" w:hAnsiTheme="majorBidi" w:cstheme="majorBidi"/>
          <w:color w:val="000000"/>
          <w:lang w:eastAsia="ko-KR"/>
        </w:rPr>
        <w:t>.</w:t>
      </w:r>
    </w:p>
    <w:p w:rsidR="003A66C2" w:rsidRPr="00D32285" w:rsidRDefault="003A66C2" w:rsidP="003A66C2">
      <w:pPr>
        <w:pStyle w:val="NormalWeb"/>
        <w:spacing w:before="0" w:beforeAutospacing="0" w:after="0" w:afterAutospacing="0" w:line="300" w:lineRule="auto"/>
        <w:ind w:firstLine="720"/>
        <w:jc w:val="both"/>
        <w:rPr>
          <w:rFonts w:asciiTheme="majorBidi" w:eastAsia="BatangChe" w:hAnsiTheme="majorBidi" w:cstheme="majorBidi"/>
          <w:color w:val="000000"/>
          <w:lang w:eastAsia="ko-KR"/>
        </w:rPr>
      </w:pPr>
      <w:r w:rsidRPr="00D32285">
        <w:rPr>
          <w:rFonts w:asciiTheme="majorBidi" w:eastAsia="BatangChe" w:hAnsiTheme="majorBidi" w:cstheme="majorBidi"/>
          <w:color w:val="000000"/>
          <w:lang w:eastAsia="ko-KR"/>
        </w:rPr>
        <w:lastRenderedPageBreak/>
        <w:t xml:space="preserve">In its research entitle "Is a Worldwide Crisis Imminent?" the World Bank anticipates that a global economic recession may occur in 2023. In 2022, policymakers were more terrified by the possibility of a global recession as they witnessed the rapid deterioration of growth prospects amid growing inflation. This prediction feels even more real with several indications that have started to occur, such as the aggressive increase in benchmark interest rates by the central banks of various countries in an effort to reduce the inflation rate </w:t>
      </w:r>
      <w:r w:rsidRPr="00D32285">
        <w:rPr>
          <w:rFonts w:asciiTheme="majorBidi" w:eastAsia="BatangChe" w:hAnsiTheme="majorBidi" w:cstheme="majorBidi"/>
          <w:color w:val="000000"/>
          <w:lang w:eastAsia="ko-KR"/>
        </w:rPr>
        <w:fldChar w:fldCharType="begin" w:fldLock="1"/>
      </w:r>
      <w:r w:rsidRPr="00D32285">
        <w:rPr>
          <w:rFonts w:asciiTheme="majorBidi" w:eastAsia="BatangChe" w:hAnsiTheme="majorBidi" w:cstheme="majorBidi"/>
          <w:color w:val="000000"/>
          <w:lang w:eastAsia="ko-KR"/>
        </w:rPr>
        <w:instrText>ADDIN CSL_CITATION {"citationItems":[{"id":"ITEM-1","itemData":{"author":[{"dropping-particle":"","family":"Mahdiyan","given":"Alinda","non-dropping-particle":"","parse-names":false,"suffix":""}],"container-title":"KPBU KEMENKEU","id":"ITEM-1","issued":{"date-parts":[["2023","1","25"]]},"title":"Perekonomian dunia diprediksi akan dihantam resesi tahun 2023, bagaimana dengan pembangunan infrastruktur?","type":"article-newspaper"},"uris":["http://www.mendeley.com/documents/?uuid=ee884ca8-5c33-45c1-afe0-d8cde3e7641f"]}],"mendeley":{"formattedCitation":"(Mahdiyan, 2023)","plainTextFormattedCitation":"(Mahdiyan, 2023)","previouslyFormattedCitation":"Alinda Mahdiyan, “Perekonomian Dunia Diprediksi Akan Dihantam Resesi Tahun 2023, Bagaimana Dengan Pembangunan Infrastruktur?,” &lt;i&gt;KPBU KEMENKEU&lt;/i&gt;, January 25, 2023, https://kpbu.kemenkeu.go.id/read/1173-1508/umum/kajian-opini-publik/perekonomian-dunia-diprediksi-akan-dihantam-resesi-tahun-2023-bagaimana-dengan-pembangunan-infrastruktur."},"properties":{"noteIndex":0},"schema":"https://github.com/citation-style-language/schema/raw/master/csl-citation.json"}</w:instrText>
      </w:r>
      <w:r w:rsidRPr="00D32285">
        <w:rPr>
          <w:rFonts w:asciiTheme="majorBidi" w:eastAsia="BatangChe" w:hAnsiTheme="majorBidi" w:cstheme="majorBidi"/>
          <w:color w:val="000000"/>
          <w:lang w:eastAsia="ko-KR"/>
        </w:rPr>
        <w:fldChar w:fldCharType="separate"/>
      </w:r>
      <w:r w:rsidRPr="00D32285">
        <w:rPr>
          <w:rFonts w:asciiTheme="majorBidi" w:eastAsia="BatangChe" w:hAnsiTheme="majorBidi" w:cstheme="majorBidi"/>
          <w:color w:val="000000"/>
          <w:lang w:eastAsia="ko-KR"/>
        </w:rPr>
        <w:t>(Mahdiyan, 2023)</w:t>
      </w:r>
      <w:r w:rsidRPr="00D32285">
        <w:rPr>
          <w:rFonts w:asciiTheme="majorBidi" w:eastAsia="BatangChe" w:hAnsiTheme="majorBidi" w:cstheme="majorBidi"/>
          <w:color w:val="000000"/>
          <w:lang w:eastAsia="ko-KR"/>
        </w:rPr>
        <w:fldChar w:fldCharType="end"/>
      </w:r>
      <w:r w:rsidRPr="00D32285">
        <w:rPr>
          <w:rFonts w:asciiTheme="majorBidi" w:eastAsia="BatangChe" w:hAnsiTheme="majorBidi" w:cstheme="majorBidi"/>
          <w:color w:val="000000"/>
          <w:lang w:eastAsia="ko-KR"/>
        </w:rPr>
        <w:t xml:space="preserve">. World Bank analysis indicates that the global economy could escape a recession even if additional monetary policy tightening beyond current market expectations is needed to reduce inflation. Nonetheless, it would require the additional tightening to be implemented in such a way as to generate an orderly adjustment in financial markets. More importantly, policymakers must employ all of their available “tools” to stay ahead of inflation and prevent the likelihood of a steeper downturn in economic growth </w:t>
      </w:r>
      <w:r w:rsidRPr="00D32285">
        <w:rPr>
          <w:rFonts w:asciiTheme="majorBidi" w:eastAsia="BatangChe" w:hAnsiTheme="majorBidi" w:cstheme="majorBidi"/>
          <w:color w:val="000000"/>
          <w:lang w:eastAsia="ko-KR"/>
        </w:rPr>
        <w:fldChar w:fldCharType="begin" w:fldLock="1"/>
      </w:r>
      <w:r w:rsidRPr="00D32285">
        <w:rPr>
          <w:rFonts w:asciiTheme="majorBidi" w:eastAsia="BatangChe" w:hAnsiTheme="majorBidi" w:cstheme="majorBidi"/>
          <w:color w:val="000000"/>
          <w:lang w:eastAsia="ko-KR"/>
        </w:rPr>
        <w:instrText>ADDIN CSL_CITATION {"citationItems":[{"id":"ITEM-1","itemData":{"author":[{"dropping-particle":"","family":"Guénette","given":"Justin Damien","non-dropping-particle":"","parse-names":false,"suffix":""},{"dropping-particle":"","family":"Kose","given":"M Ayhan","non-dropping-particle":"","parse-names":false,"suffix":""},{"dropping-particle":"","family":"Sugawara","given":"Naotaka","non-dropping-particle":"","parse-names":false,"suffix":""}],"id":"ITEM-1","issue":"September","issued":{"date-parts":[["2022"]]},"page":"1-37","title":"Is a Global Recession Imminent? EFI Policy Note 4","type":"article-journal"},"uris":["http://www.mendeley.com/documents/?uuid=34a72eaa-579d-4d07-b8a7-cf06625f8e9e"]}],"mendeley":{"formattedCitation":"(Guénette et al., 2022)","plainTextFormattedCitation":"(Guénette et al., 2022)","previouslyFormattedCitation":"Justin Damien Guénette, M Ayhan Kose, and Naotaka Sugawara, “Is a Global Recession Imminent? EFI Policy Note 4,” no. September (2022): 1–37, https://www.worldbank.org/en/research/brief/global-recession."},"properties":{"noteIndex":0},"schema":"https://github.com/citation-style-language/schema/raw/master/csl-citation.json"}</w:instrText>
      </w:r>
      <w:r w:rsidRPr="00D32285">
        <w:rPr>
          <w:rFonts w:asciiTheme="majorBidi" w:eastAsia="BatangChe" w:hAnsiTheme="majorBidi" w:cstheme="majorBidi"/>
          <w:color w:val="000000"/>
          <w:lang w:eastAsia="ko-KR"/>
        </w:rPr>
        <w:fldChar w:fldCharType="separate"/>
      </w:r>
      <w:r w:rsidRPr="00D32285">
        <w:rPr>
          <w:rFonts w:asciiTheme="majorBidi" w:eastAsia="BatangChe" w:hAnsiTheme="majorBidi" w:cstheme="majorBidi"/>
          <w:color w:val="000000"/>
          <w:lang w:eastAsia="ko-KR"/>
        </w:rPr>
        <w:t>(Guénette et al., 2022)</w:t>
      </w:r>
      <w:r w:rsidRPr="00D32285">
        <w:rPr>
          <w:rFonts w:asciiTheme="majorBidi" w:eastAsia="BatangChe" w:hAnsiTheme="majorBidi" w:cstheme="majorBidi"/>
          <w:color w:val="000000"/>
          <w:lang w:eastAsia="ko-KR"/>
        </w:rPr>
        <w:fldChar w:fldCharType="end"/>
      </w:r>
      <w:r w:rsidRPr="00D32285">
        <w:rPr>
          <w:rFonts w:asciiTheme="majorBidi" w:eastAsia="BatangChe" w:hAnsiTheme="majorBidi" w:cstheme="majorBidi"/>
          <w:color w:val="000000"/>
          <w:lang w:eastAsia="ko-KR"/>
        </w:rPr>
        <w:t>.</w:t>
      </w:r>
    </w:p>
    <w:p w:rsidR="003A66C2" w:rsidRPr="00D32285" w:rsidRDefault="003A66C2" w:rsidP="003A66C2">
      <w:pPr>
        <w:pStyle w:val="NormalWeb"/>
        <w:spacing w:before="0" w:beforeAutospacing="0" w:after="0" w:afterAutospacing="0" w:line="300" w:lineRule="auto"/>
        <w:ind w:firstLine="720"/>
        <w:jc w:val="both"/>
        <w:rPr>
          <w:rFonts w:asciiTheme="majorBidi" w:eastAsia="BatangChe" w:hAnsiTheme="majorBidi" w:cstheme="majorBidi"/>
          <w:color w:val="000000"/>
          <w:lang w:eastAsia="ko-KR"/>
        </w:rPr>
      </w:pPr>
      <w:r w:rsidRPr="00D32285">
        <w:rPr>
          <w:rFonts w:asciiTheme="majorBidi" w:eastAsia="BatangChe" w:hAnsiTheme="majorBidi" w:cstheme="majorBidi"/>
          <w:color w:val="000000"/>
          <w:lang w:eastAsia="ko-KR"/>
        </w:rPr>
        <w:t xml:space="preserve">One of the </w:t>
      </w:r>
      <w:r w:rsidR="002C45E7" w:rsidRPr="00D32285">
        <w:rPr>
          <w:rFonts w:asciiTheme="majorBidi" w:eastAsia="BatangChe" w:hAnsiTheme="majorBidi" w:cstheme="majorBidi"/>
          <w:color w:val="000000"/>
          <w:lang w:eastAsia="ko-KR"/>
        </w:rPr>
        <w:t>solutions</w:t>
      </w:r>
      <w:r w:rsidRPr="00D32285">
        <w:rPr>
          <w:rFonts w:asciiTheme="majorBidi" w:eastAsia="BatangChe" w:hAnsiTheme="majorBidi" w:cstheme="majorBidi"/>
          <w:color w:val="000000"/>
          <w:lang w:eastAsia="ko-KR"/>
        </w:rPr>
        <w:t xml:space="preserve"> to escape and or prevent the worst effect of economic recession for the community is </w:t>
      </w:r>
      <w:r w:rsidR="002C45E7" w:rsidRPr="00D32285">
        <w:rPr>
          <w:rFonts w:asciiTheme="majorBidi" w:eastAsia="BatangChe" w:hAnsiTheme="majorBidi" w:cstheme="majorBidi"/>
          <w:color w:val="000000"/>
          <w:lang w:eastAsia="ko-KR"/>
        </w:rPr>
        <w:t>minimizing</w:t>
      </w:r>
      <w:r w:rsidRPr="00D32285">
        <w:rPr>
          <w:rFonts w:asciiTheme="majorBidi" w:eastAsia="BatangChe" w:hAnsiTheme="majorBidi" w:cstheme="majorBidi"/>
          <w:color w:val="000000"/>
          <w:lang w:eastAsia="ko-KR"/>
        </w:rPr>
        <w:t xml:space="preserve"> the outcome and prefer for invest. Studies which was conducted by </w:t>
      </w:r>
      <w:proofErr w:type="spellStart"/>
      <w:r w:rsidRPr="00D32285">
        <w:rPr>
          <w:rFonts w:asciiTheme="majorBidi" w:eastAsia="BatangChe" w:hAnsiTheme="majorBidi" w:cstheme="majorBidi"/>
          <w:color w:val="000000"/>
          <w:lang w:eastAsia="ko-KR"/>
        </w:rPr>
        <w:t>Bouri</w:t>
      </w:r>
      <w:proofErr w:type="spellEnd"/>
      <w:r w:rsidRPr="00D32285">
        <w:rPr>
          <w:rFonts w:asciiTheme="majorBidi" w:eastAsia="BatangChe" w:hAnsiTheme="majorBidi" w:cstheme="majorBidi"/>
          <w:color w:val="000000"/>
          <w:lang w:eastAsia="ko-KR"/>
        </w:rPr>
        <w:t xml:space="preserve"> et al. on 2020 have shown mixed results regarding the safe-haven asset properties of gold during the COVID-19 pandemic </w:t>
      </w:r>
      <w:r w:rsidRPr="00D32285">
        <w:rPr>
          <w:rFonts w:asciiTheme="majorBidi" w:eastAsia="BatangChe" w:hAnsiTheme="majorBidi" w:cstheme="majorBidi"/>
          <w:color w:val="000000"/>
          <w:lang w:eastAsia="ko-KR"/>
        </w:rPr>
        <w:fldChar w:fldCharType="begin" w:fldLock="1"/>
      </w:r>
      <w:r w:rsidRPr="00D32285">
        <w:rPr>
          <w:rFonts w:asciiTheme="majorBidi" w:eastAsia="BatangChe" w:hAnsiTheme="majorBidi" w:cstheme="majorBidi"/>
          <w:color w:val="000000"/>
          <w:lang w:eastAsia="ko-KR"/>
        </w:rPr>
        <w:instrText>ADDIN CSL_CITATION {"citationItems":[{"id":"ITEM-1","itemData":{"author":[{"dropping-particle":"","family":"Bouri","given":"E","non-dropping-particle":"","parse-names":false,"suffix":""},{"dropping-particle":"","family":"Shahzad","given":"S.J.H.","non-dropping-particle":"","parse-names":false,"suffix":""},{"dropping-particle":"","family":"Roubaud","given":"D.","non-dropping-particle":"","parse-names":false,"suffix":""},{"dropping-particle":"","family":"Kristoufek","given":"L.","non-dropping-particle":"","parse-names":false,"suffix":""},{"dropping-particle":"","family":"Lucey","given":"B.","non-dropping-particle":"","parse-names":false,"suffix":""}],"container-title":"The Quarterly Review of Economics and Finance","id":"ITEM-1","issued":{"date-parts":[["2020"]]},"page":"156-164","title":"Bitcoin, gold, and commodities as safe havens for stocks: new insight through wavelet analysis","type":"article-journal","volume":"77"},"uris":["http://www.mendeley.com/documents/?uuid=1a2ced62-9126-42f9-a389-075a768958a8"]}],"mendeley":{"formattedCitation":"(Bouri et al., 2020)","plainTextFormattedCitation":"(Bouri et al., 2020)","previouslyFormattedCitation":"E Bouri et al., “Bitcoin, Gold, and Commodities as Safe Havens for Stocks: New Insight through Wavelet Analysis,” &lt;i&gt;The Quarterly Review of Economics and Finance&lt;/i&gt; 77 (2020): 156–64, https://www.sciencedirect.com/science/article/abs/pii/S1062976920300326."},"properties":{"noteIndex":0},"schema":"https://github.com/citation-style-language/schema/raw/master/csl-citation.json"}</w:instrText>
      </w:r>
      <w:r w:rsidRPr="00D32285">
        <w:rPr>
          <w:rFonts w:asciiTheme="majorBidi" w:eastAsia="BatangChe" w:hAnsiTheme="majorBidi" w:cstheme="majorBidi"/>
          <w:color w:val="000000"/>
          <w:lang w:eastAsia="ko-KR"/>
        </w:rPr>
        <w:fldChar w:fldCharType="separate"/>
      </w:r>
      <w:r w:rsidRPr="00D32285">
        <w:rPr>
          <w:rFonts w:asciiTheme="majorBidi" w:eastAsia="BatangChe" w:hAnsiTheme="majorBidi" w:cstheme="majorBidi"/>
          <w:color w:val="000000"/>
          <w:lang w:eastAsia="ko-KR"/>
        </w:rPr>
        <w:t>(Bouri et al., 2020)</w:t>
      </w:r>
      <w:r w:rsidRPr="00D32285">
        <w:rPr>
          <w:rFonts w:asciiTheme="majorBidi" w:eastAsia="BatangChe" w:hAnsiTheme="majorBidi" w:cstheme="majorBidi"/>
          <w:color w:val="000000"/>
          <w:lang w:eastAsia="ko-KR"/>
        </w:rPr>
        <w:fldChar w:fldCharType="end"/>
      </w:r>
      <w:r w:rsidRPr="00D32285">
        <w:rPr>
          <w:rFonts w:asciiTheme="majorBidi" w:eastAsia="BatangChe" w:hAnsiTheme="majorBidi" w:cstheme="majorBidi"/>
          <w:color w:val="000000"/>
          <w:lang w:eastAsia="ko-KR"/>
        </w:rPr>
        <w:t xml:space="preserve">. In this modern era, many millennial are saving aside a portion of their salary or pocket money to buy gold with the hope of achieving a long-term profit </w:t>
      </w:r>
      <w:r w:rsidRPr="00D32285">
        <w:rPr>
          <w:rFonts w:asciiTheme="majorBidi" w:eastAsia="BatangChe" w:hAnsiTheme="majorBidi" w:cstheme="majorBidi"/>
          <w:color w:val="000000"/>
          <w:lang w:eastAsia="ko-KR"/>
        </w:rPr>
        <w:fldChar w:fldCharType="begin" w:fldLock="1"/>
      </w:r>
      <w:r w:rsidRPr="00D32285">
        <w:rPr>
          <w:rFonts w:asciiTheme="majorBidi" w:eastAsia="BatangChe" w:hAnsiTheme="majorBidi" w:cstheme="majorBidi"/>
          <w:color w:val="000000"/>
          <w:lang w:eastAsia="ko-KR"/>
        </w:rPr>
        <w:instrText>ADDIN CSL_CITATION {"citationItems":[{"id":"ITEM-1","itemData":{"abstract":"Penelitian ini bertujuan untuk mengetahui mengenai apa saja yang menjadikan peluang pada investasi emas jangka panjang melalui produk Pembiayaan BSM Cicil Emas Di Bank Syariah Mandiri Kantor Cabang Purwokerto.Metode penelitian ini adalah metode kualitatif dengan menggunakan pendekatan deskriptif berupa studi kepustakaan dan studi kasus yang dilakukan dengan wawancara dan dokumentasi, ditambah dengan pengamatan yang dilakukan oleh peneliti.Hasil dari penelitian ini adalah peluang investasi yang terdapat pada produk ini yaitu kebutuhan nasabah, keuntungan yang didapatkan dari investasi emas, kemudahan dalam jual beli logam mulia emas, kenaikan harga emas yang terus mengalami kenaikan serta persaingan yang masih rendah. Itulah beberapa peluang yang menjadi alasan untuk mengambil produk pembiayaan BSM Cicil Emas di Bank Syariah Mandiri Purwokerto ini sebagai investasi jangka panjang yang cukup menjanjikan.","author":[{"dropping-particle":"","family":"Fauziah","given":"Anggriani","non-dropping-particle":"","parse-names":false,"suffix":""},{"dropping-particle":"","family":"Surya","given":"Mintaraga Emas","non-dropping-particle":"","parse-names":false,"suffix":""}],"container-title":"Islamadina","id":"ITEM-1","issue":"1","issued":{"date-parts":[["2016"]]},"page":"57-73","title":"Peluang Investasi Emas Jangka Panjang melalui Produk Pembiayaan Bsm Cicil Emas","type":"article-journal","volume":"XVI"},"uris":["http://www.mendeley.com/documents/?uuid=2f4b4624-d3f2-4fb7-808d-c56362e2c768"]}],"mendeley":{"formattedCitation":"(A. Fauziah &amp; Surya, 2016)","plainTextFormattedCitation":"(A. Fauziah &amp; Surya, 2016)","previouslyFormattedCitation":"Anggriani Fauziah and Mintaraga Emas Surya, “Peluang Investasi Emas Jangka Panjang Melalui Produk Pembiayaan Bsm Cicil Emas,” &lt;i&gt;Islamadina&lt;/i&gt; XVI, no. 1 (2016): 57–73."},"properties":{"noteIndex":0},"schema":"https://github.com/citation-style-language/schema/raw/master/csl-citation.json"}</w:instrText>
      </w:r>
      <w:r w:rsidRPr="00D32285">
        <w:rPr>
          <w:rFonts w:asciiTheme="majorBidi" w:eastAsia="BatangChe" w:hAnsiTheme="majorBidi" w:cstheme="majorBidi"/>
          <w:color w:val="000000"/>
          <w:lang w:eastAsia="ko-KR"/>
        </w:rPr>
        <w:fldChar w:fldCharType="separate"/>
      </w:r>
      <w:r w:rsidRPr="00D32285">
        <w:rPr>
          <w:rFonts w:asciiTheme="majorBidi" w:eastAsia="BatangChe" w:hAnsiTheme="majorBidi" w:cstheme="majorBidi"/>
          <w:color w:val="000000"/>
          <w:lang w:eastAsia="ko-KR"/>
        </w:rPr>
        <w:t>(A. Fauziah &amp; Surya, 2016)</w:t>
      </w:r>
      <w:r w:rsidRPr="00D32285">
        <w:rPr>
          <w:rFonts w:asciiTheme="majorBidi" w:eastAsia="BatangChe" w:hAnsiTheme="majorBidi" w:cstheme="majorBidi"/>
          <w:color w:val="000000"/>
          <w:lang w:eastAsia="ko-KR"/>
        </w:rPr>
        <w:fldChar w:fldCharType="end"/>
      </w:r>
      <w:r w:rsidRPr="00D32285">
        <w:rPr>
          <w:rFonts w:asciiTheme="majorBidi" w:eastAsia="BatangChe" w:hAnsiTheme="majorBidi" w:cstheme="majorBidi"/>
          <w:color w:val="000000"/>
          <w:lang w:eastAsia="ko-KR"/>
        </w:rPr>
        <w:t xml:space="preserve">. One of investment that millennial preferred is Gold investment. Gold investment is one of the most secure and profitable investments. Gold is an investment object whose value tends to increase over time, so gold investment is almost always profitable with low risk </w:t>
      </w:r>
      <w:r w:rsidRPr="00D32285">
        <w:rPr>
          <w:rFonts w:asciiTheme="majorBidi" w:eastAsia="BatangChe" w:hAnsiTheme="majorBidi" w:cstheme="majorBidi"/>
          <w:color w:val="000000"/>
          <w:lang w:eastAsia="ko-KR"/>
        </w:rPr>
        <w:fldChar w:fldCharType="begin" w:fldLock="1"/>
      </w:r>
      <w:r w:rsidRPr="00D32285">
        <w:rPr>
          <w:rFonts w:asciiTheme="majorBidi" w:eastAsia="BatangChe" w:hAnsiTheme="majorBidi" w:cstheme="majorBidi"/>
          <w:color w:val="000000"/>
          <w:lang w:eastAsia="ko-KR"/>
        </w:rPr>
        <w:instrText>ADDIN CSL_CITATION {"citationItems":[{"id":"ITEM-1","itemData":{"author":[{"dropping-particle":"","family":"Fauziah","given":"Mita Rahmawati","non-dropping-particle":"","parse-names":false,"suffix":""}],"container-title":"e-journal Institut Agama Islam Negeri Ambon","id":"ITEM-1","issue":"1","issued":{"date-parts":[["2019"]]},"title":"INVESTASI LOGAM MULIA (EMAS) DI PENGGADAIAN SYARIAH DALAM PERSFEKTIF HUKUM EKONOMI SYARIAH","type":"article-journal","volume":"XV"},"uris":["http://www.mendeley.com/documents/?uuid=9b5a3dc3-0f01-48ce-a2a9-d5ec55284408"]}],"mendeley":{"formattedCitation":"(M. R. Fauziah, 2019)","plainTextFormattedCitation":"(M. R. Fauziah, 2019)","previouslyFormattedCitation":"Mita Rahmawati Fauziah, “INVESTASI LOGAM MULIA (EMAS) DI PENGGADAIAN SYARIAH DALAM PERSFEKTIF HUKUM EKONOMI SYARIAH,” &lt;i&gt;E-Journal Institut Agama Islam Negeri Ambon&lt;/i&gt; XV, no. 1 (2019)."},"properties":{"noteIndex":0},"schema":"https://github.com/citation-style-language/schema/raw/master/csl-citation.json"}</w:instrText>
      </w:r>
      <w:r w:rsidRPr="00D32285">
        <w:rPr>
          <w:rFonts w:asciiTheme="majorBidi" w:eastAsia="BatangChe" w:hAnsiTheme="majorBidi" w:cstheme="majorBidi"/>
          <w:color w:val="000000"/>
          <w:lang w:eastAsia="ko-KR"/>
        </w:rPr>
        <w:fldChar w:fldCharType="separate"/>
      </w:r>
      <w:r w:rsidRPr="00D32285">
        <w:rPr>
          <w:rFonts w:asciiTheme="majorBidi" w:eastAsia="BatangChe" w:hAnsiTheme="majorBidi" w:cstheme="majorBidi"/>
          <w:color w:val="000000"/>
          <w:lang w:eastAsia="ko-KR"/>
        </w:rPr>
        <w:t>(M. R. Fauziah, 2019)</w:t>
      </w:r>
      <w:r w:rsidRPr="00D32285">
        <w:rPr>
          <w:rFonts w:asciiTheme="majorBidi" w:eastAsia="BatangChe" w:hAnsiTheme="majorBidi" w:cstheme="majorBidi"/>
          <w:color w:val="000000"/>
          <w:lang w:eastAsia="ko-KR"/>
        </w:rPr>
        <w:fldChar w:fldCharType="end"/>
      </w:r>
      <w:r w:rsidRPr="00D32285">
        <w:rPr>
          <w:rFonts w:asciiTheme="majorBidi" w:eastAsia="BatangChe" w:hAnsiTheme="majorBidi" w:cstheme="majorBidi"/>
          <w:color w:val="000000"/>
          <w:lang w:eastAsia="ko-KR"/>
        </w:rPr>
        <w:t>.</w:t>
      </w:r>
    </w:p>
    <w:p w:rsidR="002C45E7" w:rsidRDefault="003A66C2" w:rsidP="002C45E7">
      <w:pPr>
        <w:pStyle w:val="NormalWeb"/>
        <w:spacing w:before="0" w:beforeAutospacing="0" w:after="0" w:afterAutospacing="0" w:line="300" w:lineRule="auto"/>
        <w:ind w:firstLine="720"/>
        <w:jc w:val="both"/>
        <w:rPr>
          <w:rFonts w:asciiTheme="majorBidi" w:eastAsia="BatangChe" w:hAnsiTheme="majorBidi" w:cstheme="majorBidi"/>
          <w:color w:val="000000"/>
          <w:lang w:eastAsia="ko-KR"/>
        </w:rPr>
      </w:pPr>
      <w:r w:rsidRPr="00D32285">
        <w:rPr>
          <w:rFonts w:asciiTheme="majorBidi" w:eastAsia="BatangChe" w:hAnsiTheme="majorBidi" w:cstheme="majorBidi"/>
          <w:color w:val="000000"/>
          <w:lang w:eastAsia="ko-KR"/>
        </w:rPr>
        <w:t>Science and technology have evolved over time and internet being one of innovation that has had a significant impact. Mastery in technology becomes prestige and indicator of developed country especially in this globalization era including Indonesia and it’s marked by development of e-commerce business. Technological developments and digitalization indirectly changes individual or community mindset to use online media and it’s known as e-life. E-life have a lot of various type which are e-commerce, e-library, e-</w:t>
      </w:r>
      <w:r w:rsidRPr="00D32285">
        <w:rPr>
          <w:rFonts w:asciiTheme="majorBidi" w:eastAsia="BatangChe" w:hAnsiTheme="majorBidi" w:cstheme="majorBidi"/>
          <w:color w:val="000000"/>
          <w:lang w:eastAsia="ko-KR"/>
        </w:rPr>
        <w:lastRenderedPageBreak/>
        <w:t xml:space="preserve">government, e-medicine, e-biodiversity, e-laboratory and so on </w:t>
      </w:r>
      <w:r w:rsidRPr="00D32285">
        <w:rPr>
          <w:rFonts w:asciiTheme="majorBidi" w:eastAsia="BatangChe" w:hAnsiTheme="majorBidi" w:cstheme="majorBidi"/>
          <w:color w:val="000000"/>
          <w:lang w:eastAsia="ko-KR"/>
        </w:rPr>
        <w:fldChar w:fldCharType="begin" w:fldLock="1"/>
      </w:r>
      <w:r w:rsidRPr="00D32285">
        <w:rPr>
          <w:rFonts w:asciiTheme="majorBidi" w:eastAsia="BatangChe" w:hAnsiTheme="majorBidi" w:cstheme="majorBidi"/>
          <w:color w:val="000000"/>
          <w:lang w:eastAsia="ko-KR"/>
        </w:rPr>
        <w:instrText>ADDIN CSL_CITATION {"citationItems":[{"id":"ITEM-1","itemData":{"DOI":"10.24252/el-iqthisadi.v2i1.14021","ISSN":"2615-241X","abstract":"AbstractThe advancement of telecommunications, information and computer technology has led to changes in culture and the demands of everyday life, so that it has given birth to new patterns of relationships, including in the business world. One of its flagship media is through e-commerce (electronic commerce). The emergence of concerns about e-commerce transactions, especially the Islamic community in Indonesia, both from a security perspective and a sharia perspective. This paper aims to analyze e-commerce transactions in Islamic economics. The results of the analysis concluded that technically the transaction, both in the form of buying and selling services or goods, if the goods are delivered in a formidable form of non-digital, then e-commerce transactions can be analogous to the sale of al-salam, which has been prescribed from the beginning- the beginning of Islam through the Sunnah of the Holy Prophet. The use of e-commerce in Indonesia is permitted while the two parties understand each other. This article is also to provide general guidance about e-commerce users in running their business. Keywords: Bai 'as-salam, E-Commerce, Islamic Economics.AbstrakKemajuan teknologi telekomunikasi, informasi dan komputer, telah menyebabkan terjadinya perubahan kultur dan tuntutan hidup sehari-hari, sehingga telah melahirkan pola hubungan baru, di antaranya dalam dunia bisnis. Salah satu media andalannya adalah melalui e-commerce (electronic commerce). Munculnya kekhawatiran terhadap transaksi e-commerce khususnya masyarakat Islam di Indonesia, baik dari prespektif keamanan dan prespektif syariah. Tulisan ini bertujuan untuk menganalisis transaksi e-commerce dalam ekonomi syariah. Hasil analisis disimpulkan bahwa secara teknis transaksinya, baik dalam bentuk jual-beli jasa atau barang, kalau barang tersebut diserahkan secara tangguh karena berbentuk non digital, maka transaksi e-commerce dapat dianalogikan kepada jual-beli al-salam, yang telah disyariatkan semenjak awal mulanya Islam melalui Sunnah Nabi saw. Penggunaan e-commerce di Indonesia dibolehkan selagi antara kedua belah pihak saling paham. Artikel ini juga untuk memberikan panduan umum tentang pengguna e-commerce dalam menjalankan bisnisnya.Kata Kunci : Bai’ as-salam, E-Commerce, Ekonomi Syariah.","author":[{"dropping-particle":"","family":"Muhammad","given":"Mahmuda Mulia","non-dropping-particle":"","parse-names":false,"suffix":""}],"container-title":"El-Iqthisadi : Jurnal Hukum Ekonomi Syariah Fakultas Syariah dan Hukum","id":"ITEM-1","issue":"1","issued":{"date-parts":[["2020"]]},"page":"76","title":"Transaksi E-Commerse Dalam Ekonomi Syariah","type":"article-journal","volume":"2"},"uris":["http://www.mendeley.com/documents/?uuid=d8b79b85-cf9e-47e2-bc5e-629c68adece2"]}],"mendeley":{"formattedCitation":"(Muhammad, 2020)","plainTextFormattedCitation":"(Muhammad, 2020)","previouslyFormattedCitation":"Mahmuda Mulia Muhammad, “Transaksi E-Commerse Dalam Ekonomi Syariah,” &lt;i&gt;El-Iqthisadi : Jurnal Hukum Ekonomi Syariah Fakultas Syariah Dan Hukum&lt;/i&gt; 2, no. 1 (2020): 76, https://doi.org/10.24252/el-iqthisadi.v2i1.14021."},"properties":{"noteIndex":0},"schema":"https://github.com/citation-style-language/schema/raw/master/csl-citation.json"}</w:instrText>
      </w:r>
      <w:r w:rsidRPr="00D32285">
        <w:rPr>
          <w:rFonts w:asciiTheme="majorBidi" w:eastAsia="BatangChe" w:hAnsiTheme="majorBidi" w:cstheme="majorBidi"/>
          <w:color w:val="000000"/>
          <w:lang w:eastAsia="ko-KR"/>
        </w:rPr>
        <w:fldChar w:fldCharType="separate"/>
      </w:r>
      <w:r w:rsidRPr="00D32285">
        <w:rPr>
          <w:rFonts w:asciiTheme="majorBidi" w:eastAsia="BatangChe" w:hAnsiTheme="majorBidi" w:cstheme="majorBidi"/>
          <w:color w:val="000000"/>
          <w:lang w:eastAsia="ko-KR"/>
        </w:rPr>
        <w:t>(Muhammad, 2020)</w:t>
      </w:r>
      <w:r w:rsidRPr="00D32285">
        <w:rPr>
          <w:rFonts w:asciiTheme="majorBidi" w:eastAsia="BatangChe" w:hAnsiTheme="majorBidi" w:cstheme="majorBidi"/>
          <w:color w:val="000000"/>
          <w:lang w:eastAsia="ko-KR"/>
        </w:rPr>
        <w:fldChar w:fldCharType="end"/>
      </w:r>
      <w:r w:rsidRPr="00D32285">
        <w:rPr>
          <w:rFonts w:asciiTheme="majorBidi" w:eastAsia="BatangChe" w:hAnsiTheme="majorBidi" w:cstheme="majorBidi"/>
          <w:color w:val="000000"/>
          <w:lang w:eastAsia="ko-KR"/>
        </w:rPr>
        <w:t>.</w:t>
      </w:r>
    </w:p>
    <w:p w:rsidR="00A01C21" w:rsidRPr="002C45E7" w:rsidRDefault="003A66C2" w:rsidP="002C45E7">
      <w:pPr>
        <w:pStyle w:val="NormalWeb"/>
        <w:spacing w:before="0" w:beforeAutospacing="0" w:after="0" w:afterAutospacing="0" w:line="300" w:lineRule="auto"/>
        <w:ind w:firstLine="720"/>
        <w:jc w:val="both"/>
        <w:rPr>
          <w:rFonts w:asciiTheme="majorBidi" w:eastAsia="BatangChe" w:hAnsiTheme="majorBidi" w:cstheme="majorBidi"/>
          <w:color w:val="000000"/>
          <w:lang w:eastAsia="ko-KR"/>
        </w:rPr>
      </w:pPr>
      <w:r w:rsidRPr="00D32285">
        <w:rPr>
          <w:rFonts w:asciiTheme="majorBidi" w:hAnsiTheme="majorBidi" w:cstheme="majorBidi"/>
          <w:color w:val="000000"/>
        </w:rPr>
        <w:t xml:space="preserve">Based on above explanation, the </w:t>
      </w:r>
      <w:r w:rsidR="00D32285" w:rsidRPr="00D32285">
        <w:rPr>
          <w:rFonts w:asciiTheme="majorBidi" w:hAnsiTheme="majorBidi" w:cstheme="majorBidi"/>
          <w:color w:val="000000"/>
        </w:rPr>
        <w:t>research aims</w:t>
      </w:r>
      <w:r w:rsidRPr="00D32285">
        <w:rPr>
          <w:rFonts w:asciiTheme="majorBidi" w:hAnsiTheme="majorBidi" w:cstheme="majorBidi"/>
          <w:color w:val="000000"/>
        </w:rPr>
        <w:t xml:space="preserve"> to analyze the urgency of e-gold investment for </w:t>
      </w:r>
      <w:r w:rsidR="00D32285">
        <w:rPr>
          <w:rFonts w:asciiTheme="majorBidi" w:hAnsiTheme="majorBidi" w:cstheme="majorBidi"/>
          <w:color w:val="000000"/>
        </w:rPr>
        <w:t xml:space="preserve">recovering the economic impact of pandemic and to analyze the </w:t>
      </w:r>
      <w:r w:rsidRPr="00D32285">
        <w:rPr>
          <w:rFonts w:asciiTheme="majorBidi" w:hAnsiTheme="majorBidi" w:cstheme="majorBidi"/>
          <w:color w:val="000000"/>
        </w:rPr>
        <w:t xml:space="preserve">e-gold investment </w:t>
      </w:r>
      <w:r w:rsidR="00D32285">
        <w:rPr>
          <w:rFonts w:asciiTheme="majorBidi" w:hAnsiTheme="majorBidi" w:cstheme="majorBidi"/>
          <w:color w:val="000000"/>
        </w:rPr>
        <w:t xml:space="preserve">base </w:t>
      </w:r>
      <w:r w:rsidRPr="00D32285">
        <w:rPr>
          <w:rFonts w:asciiTheme="majorBidi" w:hAnsiTheme="majorBidi" w:cstheme="majorBidi"/>
          <w:color w:val="000000"/>
        </w:rPr>
        <w:t xml:space="preserve">on </w:t>
      </w:r>
      <w:r w:rsidR="00D32285">
        <w:rPr>
          <w:rFonts w:asciiTheme="majorBidi" w:hAnsiTheme="majorBidi" w:cstheme="majorBidi"/>
          <w:color w:val="000000"/>
        </w:rPr>
        <w:t xml:space="preserve">the </w:t>
      </w:r>
      <w:r w:rsidRPr="00D32285">
        <w:rPr>
          <w:rFonts w:asciiTheme="majorBidi" w:hAnsiTheme="majorBidi" w:cstheme="majorBidi"/>
          <w:color w:val="000000"/>
        </w:rPr>
        <w:t>Islamic economic perspective.</w:t>
      </w:r>
      <w:r w:rsidR="009A0105" w:rsidRPr="00D32285">
        <w:rPr>
          <w:rFonts w:asciiTheme="majorBidi" w:hAnsiTheme="majorBidi" w:cstheme="majorBidi"/>
          <w:color w:val="000000"/>
        </w:rPr>
        <w:t xml:space="preserve"> </w:t>
      </w:r>
    </w:p>
    <w:p w:rsidR="00A01C21" w:rsidRPr="00E74530" w:rsidRDefault="008A72D4" w:rsidP="002C45E7">
      <w:pPr>
        <w:pStyle w:val="Heading1"/>
        <w:spacing w:before="240" w:after="120" w:line="240" w:lineRule="auto"/>
        <w:ind w:left="2801" w:hanging="2801"/>
        <w:rPr>
          <w:rFonts w:asciiTheme="majorBidi" w:hAnsiTheme="majorBidi" w:cstheme="majorBidi"/>
          <w:color w:val="000000"/>
        </w:rPr>
      </w:pPr>
      <w:r w:rsidRPr="00E74530">
        <w:rPr>
          <w:rFonts w:asciiTheme="majorBidi" w:hAnsiTheme="majorBidi" w:cstheme="majorBidi"/>
          <w:color w:val="000000"/>
        </w:rPr>
        <w:t>RESEARCH METHOD</w:t>
      </w:r>
    </w:p>
    <w:p w:rsidR="00A4466A" w:rsidRPr="00E74530" w:rsidRDefault="00965547" w:rsidP="002C45E7">
      <w:pPr>
        <w:pStyle w:val="Body"/>
        <w:spacing w:before="240" w:after="120"/>
        <w:ind w:firstLine="709"/>
        <w:rPr>
          <w:rFonts w:asciiTheme="majorBidi" w:hAnsiTheme="majorBidi" w:cstheme="majorBidi"/>
          <w:szCs w:val="24"/>
        </w:rPr>
      </w:pPr>
      <w:r w:rsidRPr="002C45E7">
        <w:rPr>
          <w:rFonts w:asciiTheme="majorBidi" w:eastAsia="Times New Roman" w:hAnsiTheme="majorBidi" w:cstheme="majorBidi"/>
          <w:color w:val="000000"/>
          <w:szCs w:val="24"/>
          <w:lang w:eastAsia="en-US"/>
        </w:rPr>
        <w:t>This study applied descriptive qualitative with a literature review</w:t>
      </w:r>
      <w:r w:rsidR="004943A8" w:rsidRPr="002C45E7">
        <w:rPr>
          <w:rFonts w:asciiTheme="majorBidi" w:eastAsia="Times New Roman" w:hAnsiTheme="majorBidi" w:cstheme="majorBidi"/>
          <w:color w:val="000000"/>
          <w:szCs w:val="24"/>
          <w:lang w:eastAsia="en-US"/>
        </w:rPr>
        <w:t xml:space="preserve"> or library research</w:t>
      </w:r>
      <w:r w:rsidRPr="002C45E7">
        <w:rPr>
          <w:rFonts w:asciiTheme="majorBidi" w:eastAsia="Times New Roman" w:hAnsiTheme="majorBidi" w:cstheme="majorBidi"/>
          <w:color w:val="000000"/>
          <w:szCs w:val="24"/>
          <w:lang w:eastAsia="en-US"/>
        </w:rPr>
        <w:t xml:space="preserve"> approach</w:t>
      </w:r>
      <w:r w:rsidR="00A4466A" w:rsidRPr="002C45E7">
        <w:rPr>
          <w:rFonts w:asciiTheme="majorBidi" w:eastAsia="Times New Roman" w:hAnsiTheme="majorBidi" w:cstheme="majorBidi"/>
          <w:color w:val="000000"/>
          <w:szCs w:val="24"/>
          <w:lang w:eastAsia="en-US"/>
        </w:rPr>
        <w:t xml:space="preserve">. The data collected through documentation from authoritative agent on </w:t>
      </w:r>
      <w:r w:rsidR="004943A8" w:rsidRPr="002C45E7">
        <w:rPr>
          <w:rFonts w:asciiTheme="majorBidi" w:eastAsia="Times New Roman" w:hAnsiTheme="majorBidi" w:cstheme="majorBidi"/>
          <w:color w:val="000000"/>
          <w:szCs w:val="24"/>
          <w:lang w:eastAsia="en-US"/>
        </w:rPr>
        <w:t xml:space="preserve">investment business </w:t>
      </w:r>
      <w:r w:rsidR="00A4466A" w:rsidRPr="002C45E7">
        <w:rPr>
          <w:rFonts w:asciiTheme="majorBidi" w:eastAsia="Times New Roman" w:hAnsiTheme="majorBidi" w:cstheme="majorBidi"/>
          <w:color w:val="000000"/>
          <w:szCs w:val="24"/>
          <w:lang w:eastAsia="en-US"/>
        </w:rPr>
        <w:t>and observation</w:t>
      </w:r>
      <w:r w:rsidR="004943A8" w:rsidRPr="002C45E7">
        <w:rPr>
          <w:rFonts w:asciiTheme="majorBidi" w:eastAsia="Times New Roman" w:hAnsiTheme="majorBidi" w:cstheme="majorBidi"/>
          <w:color w:val="000000"/>
          <w:szCs w:val="24"/>
          <w:lang w:eastAsia="en-US"/>
        </w:rPr>
        <w:t xml:space="preserve"> on economic turbulence impact during the days of Covid-19 pandemic</w:t>
      </w:r>
      <w:r w:rsidR="00A4466A" w:rsidRPr="002C45E7">
        <w:rPr>
          <w:rFonts w:asciiTheme="majorBidi" w:eastAsia="Times New Roman" w:hAnsiTheme="majorBidi" w:cstheme="majorBidi"/>
          <w:color w:val="000000"/>
          <w:szCs w:val="24"/>
          <w:lang w:eastAsia="en-US"/>
        </w:rPr>
        <w:t>. The data obtained from market review report</w:t>
      </w:r>
      <w:r w:rsidR="004943A8" w:rsidRPr="002C45E7">
        <w:rPr>
          <w:rFonts w:asciiTheme="majorBidi" w:eastAsia="Times New Roman" w:hAnsiTheme="majorBidi" w:cstheme="majorBidi"/>
          <w:color w:val="000000"/>
          <w:szCs w:val="24"/>
          <w:lang w:eastAsia="en-US"/>
        </w:rPr>
        <w:t>s</w:t>
      </w:r>
      <w:r w:rsidR="00A4466A" w:rsidRPr="002C45E7">
        <w:rPr>
          <w:rFonts w:asciiTheme="majorBidi" w:eastAsia="Times New Roman" w:hAnsiTheme="majorBidi" w:cstheme="majorBidi"/>
          <w:color w:val="000000"/>
          <w:szCs w:val="24"/>
          <w:lang w:eastAsia="en-US"/>
        </w:rPr>
        <w:t>, finance symposium summary, economic and business news, article journals, and some relevant books.</w:t>
      </w:r>
      <w:r w:rsidR="004943A8" w:rsidRPr="002C45E7">
        <w:rPr>
          <w:rFonts w:asciiTheme="majorBidi" w:eastAsia="Times New Roman" w:hAnsiTheme="majorBidi" w:cstheme="majorBidi"/>
          <w:color w:val="000000"/>
          <w:szCs w:val="24"/>
          <w:lang w:eastAsia="en-US"/>
        </w:rPr>
        <w:t xml:space="preserve"> While the data analysis technique developed base on conclusion drawing technique in order to fine out a systematical analysis as well as objective conclusion.</w:t>
      </w:r>
      <w:r w:rsidR="00A4466A" w:rsidRPr="00E74530">
        <w:rPr>
          <w:rFonts w:asciiTheme="majorBidi" w:hAnsiTheme="majorBidi" w:cstheme="majorBidi"/>
          <w:szCs w:val="24"/>
        </w:rPr>
        <w:t xml:space="preserve">  </w:t>
      </w:r>
      <w:r w:rsidRPr="00E74530">
        <w:rPr>
          <w:rFonts w:asciiTheme="majorBidi" w:hAnsiTheme="majorBidi" w:cstheme="majorBidi"/>
          <w:szCs w:val="24"/>
        </w:rPr>
        <w:t xml:space="preserve"> </w:t>
      </w:r>
    </w:p>
    <w:p w:rsidR="00A01C21" w:rsidRPr="002C45E7" w:rsidRDefault="008A72D4" w:rsidP="002C45E7">
      <w:pPr>
        <w:pStyle w:val="Heading1"/>
        <w:spacing w:before="120" w:after="120" w:line="240" w:lineRule="auto"/>
        <w:rPr>
          <w:rFonts w:asciiTheme="majorBidi" w:hAnsiTheme="majorBidi" w:cstheme="majorBidi"/>
          <w:color w:val="000000"/>
        </w:rPr>
      </w:pPr>
      <w:r w:rsidRPr="002C45E7">
        <w:rPr>
          <w:rFonts w:asciiTheme="majorBidi" w:hAnsiTheme="majorBidi" w:cstheme="majorBidi"/>
          <w:color w:val="000000"/>
        </w:rPr>
        <w:t>RESULT AND DISCUSSION</w:t>
      </w:r>
    </w:p>
    <w:p w:rsidR="00A01C21" w:rsidRPr="002C45E7" w:rsidRDefault="00A01C21" w:rsidP="002C45E7">
      <w:pPr>
        <w:pStyle w:val="Heading2"/>
        <w:spacing w:before="240" w:after="120"/>
        <w:rPr>
          <w:rFonts w:asciiTheme="majorBidi" w:hAnsiTheme="majorBidi" w:cstheme="majorBidi"/>
          <w:color w:val="000000"/>
        </w:rPr>
      </w:pPr>
      <w:r w:rsidRPr="002C45E7">
        <w:rPr>
          <w:rFonts w:asciiTheme="majorBidi" w:hAnsiTheme="majorBidi" w:cstheme="majorBidi"/>
          <w:color w:val="000000"/>
        </w:rPr>
        <w:t xml:space="preserve">1. </w:t>
      </w:r>
      <w:r w:rsidR="00C77BA0" w:rsidRPr="002C45E7">
        <w:rPr>
          <w:rFonts w:asciiTheme="majorBidi" w:hAnsiTheme="majorBidi" w:cstheme="majorBidi"/>
          <w:color w:val="000000"/>
        </w:rPr>
        <w:t>Gold Investment</w:t>
      </w:r>
    </w:p>
    <w:p w:rsidR="002C45E7" w:rsidRDefault="00C77BA0" w:rsidP="002C45E7">
      <w:pPr>
        <w:spacing w:line="300" w:lineRule="auto"/>
        <w:ind w:firstLine="709"/>
        <w:jc w:val="both"/>
        <w:rPr>
          <w:rFonts w:asciiTheme="majorBidi" w:eastAsia="BatangChe" w:hAnsiTheme="majorBidi" w:cstheme="majorBidi"/>
          <w:color w:val="000000"/>
          <w:lang w:eastAsia="ko-KR"/>
        </w:rPr>
      </w:pPr>
      <w:r w:rsidRPr="002C45E7">
        <w:rPr>
          <w:rFonts w:asciiTheme="majorBidi" w:eastAsia="BatangChe" w:hAnsiTheme="majorBidi" w:cstheme="majorBidi"/>
          <w:color w:val="000000"/>
          <w:lang w:eastAsia="ko-KR"/>
        </w:rPr>
        <w:t xml:space="preserve">Gold is an excellent investment alternative since it is more stable than other financial assets. The reasons include gold as an inflation hedge, gold investment as an attractive alternative to fixed income investment, gold investment as a less risky investment than stock investment, and currency exchange rates and their impact on gold investment returns </w:t>
      </w:r>
      <w:r w:rsidRPr="002C45E7">
        <w:rPr>
          <w:rFonts w:asciiTheme="majorBidi" w:eastAsia="BatangChe" w:hAnsiTheme="majorBidi" w:cstheme="majorBidi"/>
          <w:color w:val="000000"/>
          <w:lang w:eastAsia="ko-KR"/>
        </w:rPr>
        <w:fldChar w:fldCharType="begin" w:fldLock="1"/>
      </w:r>
      <w:r w:rsidRPr="002C45E7">
        <w:rPr>
          <w:rFonts w:asciiTheme="majorBidi" w:eastAsia="BatangChe" w:hAnsiTheme="majorBidi" w:cstheme="majorBidi"/>
          <w:color w:val="000000"/>
          <w:lang w:eastAsia="ko-KR"/>
        </w:rPr>
        <w:instrText>ADDIN CSL_CITATION {"citationItems":[{"id":"ITEM-1","itemData":{"author":[{"dropping-particle":"","family":"Panda","given":"Rajesh","non-dropping-particle":"","parse-names":false,"suffix":""},{"dropping-particle":"","family":"Sethi","given":"Madhvi","non-dropping-particle":"","parse-names":false,"suffix":""}],"container-title":"Indian Journal of Finance","id":"ITEM-1","issue":"5","issued":{"date-parts":[["2016"]]},"title":"Gold as an Investment Option in India: Myth and Reality","type":"article-journal","volume":"10"},"uris":["http://www.mendeley.com/documents/?uuid=0d937ae1-5595-44d3-bad2-863c50a2242f"]}],"mendeley":{"formattedCitation":"(Panda &amp; Sethi, 2016)","plainTextFormattedCitation":"(Panda &amp; Sethi, 2016)","previouslyFormattedCitation":"Rajesh Panda and Madhvi Sethi, “Gold as an Investment Option in India: Myth and Reality,” &lt;i&gt;Indian Journal of Finance&lt;/i&gt; 10, no. 5 (2016), https://ssrn.com/abstract=2878636 ."},"properties":{"noteIndex":0},"schema":"https://github.com/citation-style-language/schema/raw/master/csl-citation.json"}</w:instrText>
      </w:r>
      <w:r w:rsidRPr="002C45E7">
        <w:rPr>
          <w:rFonts w:asciiTheme="majorBidi" w:eastAsia="BatangChe" w:hAnsiTheme="majorBidi" w:cstheme="majorBidi"/>
          <w:color w:val="000000"/>
          <w:lang w:eastAsia="ko-KR"/>
        </w:rPr>
        <w:fldChar w:fldCharType="separate"/>
      </w:r>
      <w:r w:rsidRPr="002C45E7">
        <w:rPr>
          <w:rFonts w:asciiTheme="majorBidi" w:eastAsia="BatangChe" w:hAnsiTheme="majorBidi" w:cstheme="majorBidi"/>
          <w:color w:val="000000"/>
          <w:lang w:eastAsia="ko-KR"/>
        </w:rPr>
        <w:t>(Panda &amp; Sethi, 2016)</w:t>
      </w:r>
      <w:r w:rsidRPr="002C45E7">
        <w:rPr>
          <w:rFonts w:asciiTheme="majorBidi" w:eastAsia="BatangChe" w:hAnsiTheme="majorBidi" w:cstheme="majorBidi"/>
          <w:color w:val="000000"/>
          <w:lang w:eastAsia="ko-KR"/>
        </w:rPr>
        <w:fldChar w:fldCharType="end"/>
      </w:r>
      <w:r w:rsidRPr="002C45E7">
        <w:rPr>
          <w:rFonts w:asciiTheme="majorBidi" w:eastAsia="BatangChe" w:hAnsiTheme="majorBidi" w:cstheme="majorBidi"/>
          <w:color w:val="000000"/>
          <w:lang w:eastAsia="ko-KR"/>
        </w:rPr>
        <w:t xml:space="preserve">. Despite successive economic and financial crises, the value of the precious metal has remained high since ancient times. In recent years, currency values have changed due to the foreign exchange market, the price of crude oil, and inflation; similarly, the gold rate has been unstable </w:t>
      </w:r>
      <w:r w:rsidRPr="002C45E7">
        <w:rPr>
          <w:rFonts w:asciiTheme="majorBidi" w:eastAsia="BatangChe" w:hAnsiTheme="majorBidi" w:cstheme="majorBidi"/>
          <w:color w:val="000000"/>
          <w:lang w:eastAsia="ko-KR"/>
        </w:rPr>
        <w:fldChar w:fldCharType="begin" w:fldLock="1"/>
      </w:r>
      <w:r w:rsidRPr="002C45E7">
        <w:rPr>
          <w:rFonts w:asciiTheme="majorBidi" w:eastAsia="BatangChe" w:hAnsiTheme="majorBidi" w:cstheme="majorBidi"/>
          <w:color w:val="000000"/>
          <w:lang w:eastAsia="ko-KR"/>
        </w:rPr>
        <w:instrText>ADDIN CSL_CITATION {"citationItems":[{"id":"ITEM-1","itemData":{"author":[{"dropping-particle":"","family":"S","given":"Kumar Chandar","non-dropping-particle":"","parse-names":false,"suffix":""},{"dropping-particle":"","family":"M","given":"Sumathi","non-dropping-particle":"","parse-names":false,"suffix":""},{"dropping-particle":"","family":"S","given":"N. Sivanadam","non-dropping-particle":"","parse-names":false,"suffix":""}],"container-title":"International Journal of Computers, Communications &amp; Control","id":"ITEM-1","issue":"3","issued":{"date-parts":[["2016"]]},"page":"372","title":"Forecasting Gold Prices Based on Extreme Learning Machine","type":"article-journal","volume":"11"},"uris":["http://www.mendeley.com/documents/?uuid=8055e2fa-9497-4d13-9abf-cc0f48d182bd"]}],"mendeley":{"formattedCitation":"(S et al., 2016)","plainTextFormattedCitation":"(S et al., 2016)","previouslyFormattedCitation":"Kumar Chandar S, Sumathi M, and N. Sivanadam S, “Forecasting Gold Prices Based on Extreme Learning Machine,” &lt;i&gt;International Journal of Computers, Communications &amp; Control&lt;/i&gt; 11, no. 3 (2016): 372."},"properties":{"noteIndex":0},"schema":"https://github.com/citation-style-language/schema/raw/master/csl-citation.json"}</w:instrText>
      </w:r>
      <w:r w:rsidRPr="002C45E7">
        <w:rPr>
          <w:rFonts w:asciiTheme="majorBidi" w:eastAsia="BatangChe" w:hAnsiTheme="majorBidi" w:cstheme="majorBidi"/>
          <w:color w:val="000000"/>
          <w:lang w:eastAsia="ko-KR"/>
        </w:rPr>
        <w:fldChar w:fldCharType="separate"/>
      </w:r>
      <w:r w:rsidRPr="002C45E7">
        <w:rPr>
          <w:rFonts w:asciiTheme="majorBidi" w:eastAsia="BatangChe" w:hAnsiTheme="majorBidi" w:cstheme="majorBidi"/>
          <w:color w:val="000000"/>
          <w:lang w:eastAsia="ko-KR"/>
        </w:rPr>
        <w:t>(S et al., 2016)</w:t>
      </w:r>
      <w:r w:rsidRPr="002C45E7">
        <w:rPr>
          <w:rFonts w:asciiTheme="majorBidi" w:eastAsia="BatangChe" w:hAnsiTheme="majorBidi" w:cstheme="majorBidi"/>
          <w:color w:val="000000"/>
          <w:lang w:eastAsia="ko-KR"/>
        </w:rPr>
        <w:fldChar w:fldCharType="end"/>
      </w:r>
      <w:r w:rsidRPr="002C45E7">
        <w:rPr>
          <w:rFonts w:asciiTheme="majorBidi" w:eastAsia="BatangChe" w:hAnsiTheme="majorBidi" w:cstheme="majorBidi"/>
          <w:color w:val="000000"/>
          <w:lang w:eastAsia="ko-KR"/>
        </w:rPr>
        <w:t>.</w:t>
      </w:r>
    </w:p>
    <w:p w:rsidR="002C45E7" w:rsidRDefault="00C77BA0" w:rsidP="002C45E7">
      <w:pPr>
        <w:spacing w:line="300" w:lineRule="auto"/>
        <w:ind w:firstLine="709"/>
        <w:jc w:val="both"/>
        <w:rPr>
          <w:rFonts w:asciiTheme="majorBidi" w:eastAsia="BatangChe" w:hAnsiTheme="majorBidi" w:cstheme="majorBidi"/>
          <w:color w:val="000000"/>
          <w:lang w:eastAsia="ko-KR"/>
        </w:rPr>
      </w:pPr>
      <w:r w:rsidRPr="002C45E7">
        <w:rPr>
          <w:rFonts w:asciiTheme="majorBidi" w:eastAsia="BatangChe" w:hAnsiTheme="majorBidi" w:cstheme="majorBidi"/>
          <w:color w:val="000000"/>
          <w:lang w:eastAsia="ko-KR"/>
        </w:rPr>
        <w:t xml:space="preserve">By investing in or purchasing it, investors and consumers assume a higher level of risk. Predicting the price of gold in this situation is necessary not only to offer people hope but also to protect their money, as its value fluctuates dramatically. Numerous corporations trade these two units as </w:t>
      </w:r>
      <w:r w:rsidRPr="002C45E7">
        <w:rPr>
          <w:rFonts w:asciiTheme="majorBidi" w:eastAsia="BatangChe" w:hAnsiTheme="majorBidi" w:cstheme="majorBidi"/>
          <w:color w:val="000000"/>
          <w:lang w:eastAsia="ko-KR"/>
        </w:rPr>
        <w:lastRenderedPageBreak/>
        <w:t>stocks, and predicting the stock price is always a challenging problem due to its nontrivial nonlinearity. In order to shield themselves from political, financial, and social disasters, stockholders will dedicate themselves to this endeavor. Investing in gold is beneficent since there is no "crop rotation market fluctuation." In addition to the individual investors of multinational corporations, other individuals also invested in gold reserves.</w:t>
      </w:r>
    </w:p>
    <w:p w:rsidR="00C77BA0" w:rsidRPr="002C45E7" w:rsidRDefault="00C77BA0" w:rsidP="002C45E7">
      <w:pPr>
        <w:spacing w:line="300" w:lineRule="auto"/>
        <w:ind w:firstLine="709"/>
        <w:jc w:val="both"/>
        <w:rPr>
          <w:rFonts w:asciiTheme="majorBidi" w:hAnsiTheme="majorBidi" w:cstheme="majorBidi"/>
          <w:color w:val="000000"/>
        </w:rPr>
      </w:pPr>
      <w:r w:rsidRPr="002C45E7">
        <w:rPr>
          <w:rFonts w:asciiTheme="majorBidi" w:hAnsiTheme="majorBidi" w:cstheme="majorBidi"/>
          <w:color w:val="000000"/>
        </w:rPr>
        <w:t xml:space="preserve">In the meantime, this precious metal has begun to resemble currency to the extent that the government is likely to raise its gold reserve </w:t>
      </w:r>
      <w:r w:rsidRPr="002C45E7">
        <w:rPr>
          <w:rFonts w:asciiTheme="majorBidi" w:hAnsiTheme="majorBidi" w:cstheme="majorBidi"/>
          <w:color w:val="000000"/>
        </w:rPr>
        <w:fldChar w:fldCharType="begin" w:fldLock="1"/>
      </w:r>
      <w:r w:rsidRPr="002C45E7">
        <w:rPr>
          <w:rFonts w:asciiTheme="majorBidi" w:hAnsiTheme="majorBidi" w:cstheme="majorBidi"/>
          <w:color w:val="000000"/>
        </w:rPr>
        <w:instrText>ADDIN CSL_CITATION {"citationItems":[{"id":"ITEM-1","itemData":{"author":[{"dropping-particle":"","family":"K","given":"R Sekar","non-dropping-particle":"","parse-names":false,"suffix":""},{"dropping-particle":"","family":"Manav","given":"Srinivasan","non-dropping-particle":"","parse-names":false,"suffix":""},{"dropping-particle":"","family":"K","given":"S. Ravichandran","non-dropping-particle":"","parse-names":false,"suffix":""},{"dropping-particle":"","family":"J","given":"Sethuram","non-dropping-particle":"","parse-names":false,"suffix":""}],"id":"ITEM-1","issued":{"date-parts":[["2017"]]},"publisher-place":"Thiruvanthapuram","title":"Gold Price Estimation Using A Multi Variable Model","type":"report"},"uris":["http://www.mendeley.com/documents/?uuid=eb11ef39-4a48-467f-967e-d4480d3cbc72"]}],"mendeley":{"formattedCitation":"(K et al., 2017)","plainTextFormattedCitation":"(K et al., 2017)","previouslyFormattedCitation":"R Sekar K et al., “Gold Price Estimation Using A Multi Variable Model” (Thiruvanthapuram, 2017)."},"properties":{"noteIndex":0},"schema":"https://github.com/citation-style-language/schema/raw/master/csl-citation.json"}</w:instrText>
      </w:r>
      <w:r w:rsidRPr="002C45E7">
        <w:rPr>
          <w:rFonts w:asciiTheme="majorBidi" w:hAnsiTheme="majorBidi" w:cstheme="majorBidi"/>
          <w:color w:val="000000"/>
        </w:rPr>
        <w:fldChar w:fldCharType="separate"/>
      </w:r>
      <w:r w:rsidRPr="002C45E7">
        <w:rPr>
          <w:rFonts w:asciiTheme="majorBidi" w:hAnsiTheme="majorBidi" w:cstheme="majorBidi"/>
          <w:color w:val="000000"/>
        </w:rPr>
        <w:t>(K et al., 2017)</w:t>
      </w:r>
      <w:r w:rsidRPr="002C45E7">
        <w:rPr>
          <w:rFonts w:asciiTheme="majorBidi" w:hAnsiTheme="majorBidi" w:cstheme="majorBidi"/>
          <w:color w:val="000000"/>
        </w:rPr>
        <w:fldChar w:fldCharType="end"/>
      </w:r>
      <w:r w:rsidRPr="002C45E7">
        <w:rPr>
          <w:rFonts w:asciiTheme="majorBidi" w:hAnsiTheme="majorBidi" w:cstheme="majorBidi"/>
          <w:color w:val="000000"/>
        </w:rPr>
        <w:t xml:space="preserve">. Most people think that one advantage of gold because of its high liquidity control, it will help in difficult times </w:t>
      </w:r>
      <w:r w:rsidRPr="002C45E7">
        <w:rPr>
          <w:rFonts w:asciiTheme="majorBidi" w:hAnsiTheme="majorBidi" w:cstheme="majorBidi"/>
          <w:color w:val="000000"/>
        </w:rPr>
        <w:fldChar w:fldCharType="begin" w:fldLock="1"/>
      </w:r>
      <w:r w:rsidRPr="002C45E7">
        <w:rPr>
          <w:rFonts w:asciiTheme="majorBidi" w:hAnsiTheme="majorBidi" w:cstheme="majorBidi"/>
          <w:color w:val="000000"/>
        </w:rPr>
        <w:instrText>ADDIN CSL_CITATION {"citationItems":[{"id":"ITEM-1","itemData":{"author":[{"dropping-particle":"","family":"Pinto","given":"Michelle Jenita","non-dropping-particle":"","parse-names":false,"suffix":""}],"container-title":"International Journal of Multi-Disciplinary Research","id":"ITEM-1","issue":"1","issued":{"date-parts":[["2016"]]},"page":"1-8","title":"An Analysis on Commodity Market with Special Reference to Gold","type":"article-journal","volume":"1"},"uris":["http://www.mendeley.com/documents/?uuid=5fdf7dbc-592d-49f3-ba87-7680e568aad8"]}],"mendeley":{"formattedCitation":"(Pinto, 2016)","plainTextFormattedCitation":"(Pinto, 2016)","previouslyFormattedCitation":"Michelle Jenita Pinto, “An Analysis on Commodity Market with Special Reference to Gold,” &lt;i&gt;International Journal of Multi-Disciplinary Research&lt;/i&gt; 1, no. 1 (2016): 1–8."},"properties":{"noteIndex":0},"schema":"https://github.com/citation-style-language/schema/raw/master/csl-citation.json"}</w:instrText>
      </w:r>
      <w:r w:rsidRPr="002C45E7">
        <w:rPr>
          <w:rFonts w:asciiTheme="majorBidi" w:hAnsiTheme="majorBidi" w:cstheme="majorBidi"/>
          <w:color w:val="000000"/>
        </w:rPr>
        <w:fldChar w:fldCharType="separate"/>
      </w:r>
      <w:r w:rsidRPr="002C45E7">
        <w:rPr>
          <w:rFonts w:asciiTheme="majorBidi" w:hAnsiTheme="majorBidi" w:cstheme="majorBidi"/>
          <w:color w:val="000000"/>
        </w:rPr>
        <w:t>(Pinto, 2016)</w:t>
      </w:r>
      <w:r w:rsidRPr="002C45E7">
        <w:rPr>
          <w:rFonts w:asciiTheme="majorBidi" w:hAnsiTheme="majorBidi" w:cstheme="majorBidi"/>
          <w:color w:val="000000"/>
        </w:rPr>
        <w:fldChar w:fldCharType="end"/>
      </w:r>
      <w:r w:rsidRPr="002C45E7">
        <w:rPr>
          <w:rFonts w:asciiTheme="majorBidi" w:hAnsiTheme="majorBidi" w:cstheme="majorBidi"/>
          <w:color w:val="000000"/>
        </w:rPr>
        <w:t>.</w:t>
      </w:r>
    </w:p>
    <w:p w:rsidR="00A01C21" w:rsidRPr="002C45E7" w:rsidRDefault="00A01C21" w:rsidP="002C45E7">
      <w:pPr>
        <w:pStyle w:val="Heading2"/>
        <w:spacing w:before="240" w:after="120"/>
        <w:rPr>
          <w:rFonts w:asciiTheme="majorBidi" w:hAnsiTheme="majorBidi" w:cstheme="majorBidi"/>
          <w:color w:val="000000"/>
        </w:rPr>
      </w:pPr>
      <w:r w:rsidRPr="002C45E7">
        <w:rPr>
          <w:rFonts w:asciiTheme="majorBidi" w:hAnsiTheme="majorBidi" w:cstheme="majorBidi"/>
          <w:color w:val="000000"/>
        </w:rPr>
        <w:t xml:space="preserve">2. </w:t>
      </w:r>
      <w:r w:rsidR="00C77BA0" w:rsidRPr="002C45E7">
        <w:rPr>
          <w:rFonts w:asciiTheme="majorBidi" w:hAnsiTheme="majorBidi" w:cstheme="majorBidi"/>
          <w:color w:val="000000"/>
        </w:rPr>
        <w:t xml:space="preserve">Trend of Gold Price </w:t>
      </w:r>
    </w:p>
    <w:p w:rsidR="00C77BA0" w:rsidRDefault="00C77BA0" w:rsidP="002C45E7">
      <w:pPr>
        <w:spacing w:line="300" w:lineRule="auto"/>
        <w:ind w:firstLine="709"/>
        <w:jc w:val="both"/>
        <w:rPr>
          <w:rFonts w:asciiTheme="majorBidi" w:eastAsia="BatangChe" w:hAnsiTheme="majorBidi" w:cstheme="majorBidi"/>
          <w:color w:val="000000"/>
          <w:lang w:eastAsia="ko-KR"/>
        </w:rPr>
      </w:pPr>
      <w:r w:rsidRPr="002C45E7">
        <w:rPr>
          <w:rFonts w:asciiTheme="majorBidi" w:eastAsia="BatangChe" w:hAnsiTheme="majorBidi" w:cstheme="majorBidi"/>
          <w:color w:val="000000"/>
          <w:lang w:eastAsia="ko-KR"/>
        </w:rPr>
        <w:t xml:space="preserve">Trend of gold price is a subject of prediction and forecasting because it fluctuates continuously. Prices for gold might change from time to time. According to data from the </w:t>
      </w:r>
      <w:proofErr w:type="spellStart"/>
      <w:r w:rsidRPr="002C45E7">
        <w:rPr>
          <w:rFonts w:asciiTheme="majorBidi" w:eastAsia="BatangChe" w:hAnsiTheme="majorBidi" w:cstheme="majorBidi"/>
          <w:color w:val="000000"/>
          <w:lang w:eastAsia="ko-KR"/>
        </w:rPr>
        <w:t>Logam</w:t>
      </w:r>
      <w:proofErr w:type="spellEnd"/>
      <w:r w:rsidRPr="002C45E7">
        <w:rPr>
          <w:rFonts w:asciiTheme="majorBidi" w:eastAsia="BatangChe" w:hAnsiTheme="majorBidi" w:cstheme="majorBidi"/>
          <w:color w:val="000000"/>
          <w:lang w:eastAsia="ko-KR"/>
        </w:rPr>
        <w:t xml:space="preserve"> </w:t>
      </w:r>
      <w:proofErr w:type="spellStart"/>
      <w:r w:rsidRPr="002C45E7">
        <w:rPr>
          <w:rFonts w:asciiTheme="majorBidi" w:eastAsia="BatangChe" w:hAnsiTheme="majorBidi" w:cstheme="majorBidi"/>
          <w:color w:val="000000"/>
          <w:lang w:eastAsia="ko-KR"/>
        </w:rPr>
        <w:t>Mulia</w:t>
      </w:r>
      <w:proofErr w:type="spellEnd"/>
      <w:r w:rsidRPr="002C45E7">
        <w:rPr>
          <w:rFonts w:asciiTheme="majorBidi" w:eastAsia="BatangChe" w:hAnsiTheme="majorBidi" w:cstheme="majorBidi"/>
          <w:color w:val="000000"/>
          <w:lang w:eastAsia="ko-KR"/>
        </w:rPr>
        <w:t xml:space="preserve"> official website, there have been significant fluctuations in the gold price during the past ten years. The fluctuation trend of gold price in Indonesia is shown in Figure 1 </w:t>
      </w:r>
      <w:r w:rsidRPr="002C45E7">
        <w:rPr>
          <w:rFonts w:asciiTheme="majorBidi" w:eastAsia="BatangChe" w:hAnsiTheme="majorBidi" w:cstheme="majorBidi"/>
          <w:color w:val="000000"/>
          <w:lang w:eastAsia="ko-KR"/>
        </w:rPr>
        <w:fldChar w:fldCharType="begin" w:fldLock="1"/>
      </w:r>
      <w:r w:rsidRPr="002C45E7">
        <w:rPr>
          <w:rFonts w:asciiTheme="majorBidi" w:eastAsia="BatangChe" w:hAnsiTheme="majorBidi" w:cstheme="majorBidi"/>
          <w:color w:val="000000"/>
          <w:lang w:eastAsia="ko-KR"/>
        </w:rPr>
        <w:instrText>ADDIN CSL_CITATION {"citationItems":[{"id":"ITEM-1","itemData":{"URL":"https://www.logammulia.com/id/harga-emas-hari-ini","id":"ITEM-1","issued":{"date-parts":[["0"]]},"title":"Harga Emas","type":"webpage"},"uris":["http://www.mendeley.com/documents/?uuid=ec943867-94fb-49d1-be79-24c0766635c5"]}],"mendeley":{"formattedCitation":"(&lt;i&gt;Harga Emas&lt;/i&gt;, n.d.)","plainTextFormattedCitation":"(Harga Emas, n.d.)","previouslyFormattedCitation":"“Harga Emas,” n.d., https://www.logammulia.com/id/harga-emas-hari-ini."},"properties":{"noteIndex":0},"schema":"https://github.com/citation-style-language/schema/raw/master/csl-citation.json"}</w:instrText>
      </w:r>
      <w:r w:rsidRPr="002C45E7">
        <w:rPr>
          <w:rFonts w:asciiTheme="majorBidi" w:eastAsia="BatangChe" w:hAnsiTheme="majorBidi" w:cstheme="majorBidi"/>
          <w:color w:val="000000"/>
          <w:lang w:eastAsia="ko-KR"/>
        </w:rPr>
        <w:fldChar w:fldCharType="separate"/>
      </w:r>
      <w:r w:rsidRPr="002C45E7">
        <w:rPr>
          <w:rFonts w:asciiTheme="majorBidi" w:eastAsia="BatangChe" w:hAnsiTheme="majorBidi" w:cstheme="majorBidi"/>
          <w:color w:val="000000"/>
          <w:lang w:eastAsia="ko-KR"/>
        </w:rPr>
        <w:t>(Harga Emas, n.d.)</w:t>
      </w:r>
      <w:r w:rsidRPr="002C45E7">
        <w:rPr>
          <w:rFonts w:asciiTheme="majorBidi" w:eastAsia="BatangChe" w:hAnsiTheme="majorBidi" w:cstheme="majorBidi"/>
          <w:color w:val="000000"/>
          <w:lang w:eastAsia="ko-KR"/>
        </w:rPr>
        <w:fldChar w:fldCharType="end"/>
      </w:r>
      <w:r w:rsidRPr="002C45E7">
        <w:rPr>
          <w:rFonts w:asciiTheme="majorBidi" w:eastAsia="BatangChe" w:hAnsiTheme="majorBidi" w:cstheme="majorBidi"/>
          <w:color w:val="000000"/>
          <w:lang w:eastAsia="ko-KR"/>
        </w:rPr>
        <w:t>.</w:t>
      </w:r>
    </w:p>
    <w:p w:rsidR="002C45E7" w:rsidRPr="002C45E7" w:rsidRDefault="002C45E7" w:rsidP="002C45E7">
      <w:pPr>
        <w:spacing w:line="300" w:lineRule="auto"/>
        <w:jc w:val="center"/>
        <w:rPr>
          <w:rFonts w:asciiTheme="majorBidi" w:eastAsia="BatangChe" w:hAnsiTheme="majorBidi" w:cstheme="majorBidi"/>
          <w:b/>
          <w:bCs/>
          <w:color w:val="000000"/>
          <w:lang w:eastAsia="ko-KR"/>
        </w:rPr>
      </w:pPr>
      <w:proofErr w:type="gramStart"/>
      <w:r w:rsidRPr="002C45E7">
        <w:rPr>
          <w:rFonts w:asciiTheme="majorBidi" w:eastAsia="BatangChe" w:hAnsiTheme="majorBidi" w:cstheme="majorBidi"/>
          <w:b/>
          <w:bCs/>
          <w:color w:val="000000"/>
          <w:lang w:eastAsia="ko-KR"/>
        </w:rPr>
        <w:t>Figure 1.</w:t>
      </w:r>
      <w:proofErr w:type="gramEnd"/>
    </w:p>
    <w:p w:rsidR="002C45E7" w:rsidRPr="002C45E7" w:rsidRDefault="002C45E7" w:rsidP="002C45E7">
      <w:pPr>
        <w:spacing w:line="300" w:lineRule="auto"/>
        <w:jc w:val="center"/>
        <w:rPr>
          <w:rFonts w:asciiTheme="majorBidi" w:hAnsiTheme="majorBidi" w:cstheme="majorBidi"/>
        </w:rPr>
      </w:pPr>
      <w:r w:rsidRPr="002C45E7">
        <w:rPr>
          <w:rFonts w:asciiTheme="majorBidi" w:eastAsia="BatangChe" w:hAnsiTheme="majorBidi" w:cstheme="majorBidi"/>
          <w:color w:val="000000"/>
          <w:lang w:eastAsia="ko-KR"/>
        </w:rPr>
        <w:t>Fluctuation Trend of Gold Price</w:t>
      </w:r>
    </w:p>
    <w:p w:rsidR="00C77BA0" w:rsidRPr="00342F5C" w:rsidRDefault="00BE3458" w:rsidP="00C77BA0">
      <w:pPr>
        <w:spacing w:line="300" w:lineRule="auto"/>
        <w:jc w:val="center"/>
      </w:pPr>
      <w:r>
        <w:rPr>
          <w:noProof/>
        </w:rPr>
        <w:drawing>
          <wp:inline distT="0" distB="0" distL="0" distR="0">
            <wp:extent cx="4587676" cy="2098641"/>
            <wp:effectExtent l="19050" t="19050" r="22860"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b="5971"/>
                    <a:stretch>
                      <a:fillRect/>
                    </a:stretch>
                  </pic:blipFill>
                  <pic:spPr bwMode="auto">
                    <a:xfrm>
                      <a:off x="0" y="0"/>
                      <a:ext cx="4597261" cy="2103026"/>
                    </a:xfrm>
                    <a:prstGeom prst="rect">
                      <a:avLst/>
                    </a:prstGeom>
                    <a:noFill/>
                    <a:ln w="9525" cmpd="sng">
                      <a:solidFill>
                        <a:srgbClr val="7F7F7F"/>
                      </a:solidFill>
                      <a:miter lim="800000"/>
                      <a:headEnd/>
                      <a:tailEnd/>
                    </a:ln>
                    <a:effectLst/>
                  </pic:spPr>
                </pic:pic>
              </a:graphicData>
            </a:graphic>
          </wp:inline>
        </w:drawing>
      </w:r>
    </w:p>
    <w:p w:rsidR="00C77BA0" w:rsidRPr="002C45E7" w:rsidRDefault="00C77BA0" w:rsidP="002C45E7">
      <w:pPr>
        <w:spacing w:before="120" w:line="300" w:lineRule="auto"/>
        <w:jc w:val="center"/>
        <w:rPr>
          <w:rFonts w:asciiTheme="majorBidi" w:hAnsiTheme="majorBidi" w:cstheme="majorBidi"/>
        </w:rPr>
      </w:pPr>
      <w:r w:rsidRPr="002C45E7">
        <w:rPr>
          <w:rFonts w:asciiTheme="majorBidi" w:eastAsia="BatangChe" w:hAnsiTheme="majorBidi" w:cstheme="majorBidi"/>
          <w:color w:val="000000"/>
          <w:lang w:eastAsia="ko-KR"/>
        </w:rPr>
        <w:t xml:space="preserve">Source: </w:t>
      </w:r>
      <w:proofErr w:type="spellStart"/>
      <w:r w:rsidRPr="002C45E7">
        <w:rPr>
          <w:rFonts w:asciiTheme="majorBidi" w:eastAsia="BatangChe" w:hAnsiTheme="majorBidi" w:cstheme="majorBidi"/>
          <w:color w:val="000000"/>
          <w:lang w:eastAsia="ko-KR"/>
        </w:rPr>
        <w:t>Logam</w:t>
      </w:r>
      <w:proofErr w:type="spellEnd"/>
      <w:r w:rsidRPr="002C45E7">
        <w:rPr>
          <w:rFonts w:asciiTheme="majorBidi" w:eastAsia="BatangChe" w:hAnsiTheme="majorBidi" w:cstheme="majorBidi"/>
          <w:color w:val="000000"/>
          <w:lang w:eastAsia="ko-KR"/>
        </w:rPr>
        <w:t xml:space="preserve"> </w:t>
      </w:r>
      <w:proofErr w:type="spellStart"/>
      <w:r w:rsidRPr="002C45E7">
        <w:rPr>
          <w:rFonts w:asciiTheme="majorBidi" w:eastAsia="BatangChe" w:hAnsiTheme="majorBidi" w:cstheme="majorBidi"/>
          <w:color w:val="000000"/>
          <w:lang w:eastAsia="ko-KR"/>
        </w:rPr>
        <w:t>Mulia</w:t>
      </w:r>
      <w:proofErr w:type="spellEnd"/>
      <w:r w:rsidRPr="002C45E7">
        <w:rPr>
          <w:rFonts w:asciiTheme="majorBidi" w:eastAsia="BatangChe" w:hAnsiTheme="majorBidi" w:cstheme="majorBidi"/>
          <w:color w:val="000000"/>
          <w:lang w:eastAsia="ko-KR"/>
        </w:rPr>
        <w:t xml:space="preserve"> (accessed on January 2023)</w:t>
      </w:r>
    </w:p>
    <w:p w:rsidR="00C77BA0" w:rsidRPr="002C45E7" w:rsidRDefault="00C77BA0" w:rsidP="00C77BA0">
      <w:pPr>
        <w:spacing w:line="300" w:lineRule="auto"/>
        <w:jc w:val="center"/>
        <w:rPr>
          <w:rFonts w:asciiTheme="majorBidi" w:hAnsiTheme="majorBidi" w:cstheme="majorBidi"/>
        </w:rPr>
      </w:pPr>
    </w:p>
    <w:p w:rsidR="00C77BA0" w:rsidRDefault="00C77BA0" w:rsidP="002C45E7">
      <w:pPr>
        <w:spacing w:line="300" w:lineRule="auto"/>
        <w:ind w:firstLine="709"/>
        <w:jc w:val="both"/>
        <w:rPr>
          <w:rFonts w:asciiTheme="majorBidi" w:eastAsia="BatangChe" w:hAnsiTheme="majorBidi" w:cstheme="majorBidi"/>
          <w:color w:val="000000"/>
          <w:lang w:eastAsia="ko-KR"/>
        </w:rPr>
      </w:pPr>
      <w:r w:rsidRPr="002C45E7">
        <w:rPr>
          <w:rFonts w:asciiTheme="majorBidi" w:eastAsia="BatangChe" w:hAnsiTheme="majorBidi" w:cstheme="majorBidi"/>
          <w:color w:val="000000"/>
          <w:lang w:eastAsia="ko-KR"/>
        </w:rPr>
        <w:t xml:space="preserve">Despite the global COVID-19 pandemic, the price of gold has tended to rise over the past three years. According to previous research, the value of </w:t>
      </w:r>
      <w:r w:rsidRPr="002C45E7">
        <w:rPr>
          <w:rFonts w:asciiTheme="majorBidi" w:eastAsia="BatangChe" w:hAnsiTheme="majorBidi" w:cstheme="majorBidi"/>
          <w:color w:val="000000"/>
          <w:lang w:eastAsia="ko-KR"/>
        </w:rPr>
        <w:lastRenderedPageBreak/>
        <w:t xml:space="preserve">stocks, the price of oil, the rate of inflation, and currency exchange rates all have an impact on gold prices </w:t>
      </w:r>
      <w:r w:rsidRPr="002C45E7">
        <w:rPr>
          <w:rFonts w:asciiTheme="majorBidi" w:eastAsia="BatangChe" w:hAnsiTheme="majorBidi" w:cstheme="majorBidi"/>
          <w:color w:val="000000"/>
          <w:lang w:eastAsia="ko-KR"/>
        </w:rPr>
        <w:fldChar w:fldCharType="begin" w:fldLock="1"/>
      </w:r>
      <w:r w:rsidRPr="002C45E7">
        <w:rPr>
          <w:rFonts w:asciiTheme="majorBidi" w:eastAsia="BatangChe" w:hAnsiTheme="majorBidi" w:cstheme="majorBidi"/>
          <w:color w:val="000000"/>
          <w:lang w:eastAsia="ko-KR"/>
        </w:rPr>
        <w:instrText>ADDIN CSL_CITATION {"citationItems":[{"id":"ITEM-1","itemData":{"abstract":"This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inequality.","author":[{"dropping-particle":"","family":"Syukuri Nur","given":"Muhammad","non-dropping-particle":"","parse-names":false,"suffix":""}],"container-title":"Tinjauan Pustaka Sistematis","id":"ITEM-1","issue":"June","issued":{"date-parts":[["2020"]]},"page":"ix","title":"Tinjauan Pustaka Sistematis","type":"article-journal","volume":"26861089"},"uris":["http://www.mendeley.com/documents/?uuid=0af0012e-92bc-4dd3-a0b8-26706042f930"]}],"mendeley":{"formattedCitation":"(Syukuri Nur, 2020)","plainTextFormattedCitation":"(Syukuri Nur, 2020)","previouslyFormattedCitation":"Muhammad Syukuri Nur, “Tinjauan Pustaka Sistematis,” &lt;i&gt;Tinjauan Pustaka Sistematis&lt;/i&gt; 26861089, no. June (2020): ix."},"properties":{"noteIndex":0},"schema":"https://github.com/citation-style-language/schema/raw/master/csl-citation.json"}</w:instrText>
      </w:r>
      <w:r w:rsidRPr="002C45E7">
        <w:rPr>
          <w:rFonts w:asciiTheme="majorBidi" w:eastAsia="BatangChe" w:hAnsiTheme="majorBidi" w:cstheme="majorBidi"/>
          <w:color w:val="000000"/>
          <w:lang w:eastAsia="ko-KR"/>
        </w:rPr>
        <w:fldChar w:fldCharType="separate"/>
      </w:r>
      <w:r w:rsidRPr="002C45E7">
        <w:rPr>
          <w:rFonts w:asciiTheme="majorBidi" w:eastAsia="BatangChe" w:hAnsiTheme="majorBidi" w:cstheme="majorBidi"/>
          <w:color w:val="000000"/>
          <w:lang w:eastAsia="ko-KR"/>
        </w:rPr>
        <w:t>(Syukuri Nur, 2020)</w:t>
      </w:r>
      <w:r w:rsidRPr="002C45E7">
        <w:rPr>
          <w:rFonts w:asciiTheme="majorBidi" w:eastAsia="BatangChe" w:hAnsiTheme="majorBidi" w:cstheme="majorBidi"/>
          <w:color w:val="000000"/>
          <w:lang w:eastAsia="ko-KR"/>
        </w:rPr>
        <w:fldChar w:fldCharType="end"/>
      </w:r>
      <w:r w:rsidRPr="002C45E7">
        <w:rPr>
          <w:rFonts w:asciiTheme="majorBidi" w:eastAsia="BatangChe" w:hAnsiTheme="majorBidi" w:cstheme="majorBidi"/>
          <w:color w:val="000000"/>
          <w:lang w:eastAsia="ko-KR"/>
        </w:rPr>
        <w:t xml:space="preserve">. Gold price during pandemic is shown in Figure 2 </w:t>
      </w:r>
      <w:r w:rsidRPr="002C45E7">
        <w:rPr>
          <w:rFonts w:asciiTheme="majorBidi" w:eastAsia="BatangChe" w:hAnsiTheme="majorBidi" w:cstheme="majorBidi"/>
          <w:color w:val="000000"/>
          <w:lang w:eastAsia="ko-KR"/>
        </w:rPr>
        <w:fldChar w:fldCharType="begin" w:fldLock="1"/>
      </w:r>
      <w:r w:rsidRPr="002C45E7">
        <w:rPr>
          <w:rFonts w:asciiTheme="majorBidi" w:eastAsia="BatangChe" w:hAnsiTheme="majorBidi" w:cstheme="majorBidi"/>
          <w:color w:val="000000"/>
          <w:lang w:eastAsia="ko-KR"/>
        </w:rPr>
        <w:instrText>ADDIN CSL_CITATION {"citationItems":[{"id":"ITEM-1","itemData":{"URL":"https://www.logammulia.com/id/harga-emas-hari-ini","id":"ITEM-1","issued":{"date-parts":[["0"]]},"title":"Harga Emas","type":"webpage"},"uris":["http://www.mendeley.com/documents/?uuid=ec943867-94fb-49d1-be79-24c0766635c5"]}],"mendeley":{"formattedCitation":"(&lt;i&gt;Harga Emas&lt;/i&gt;, n.d.)","plainTextFormattedCitation":"(Harga Emas, n.d.)","previouslyFormattedCitation":"“Harga Emas.”"},"properties":{"noteIndex":0},"schema":"https://github.com/citation-style-language/schema/raw/master/csl-citation.json"}</w:instrText>
      </w:r>
      <w:r w:rsidRPr="002C45E7">
        <w:rPr>
          <w:rFonts w:asciiTheme="majorBidi" w:eastAsia="BatangChe" w:hAnsiTheme="majorBidi" w:cstheme="majorBidi"/>
          <w:color w:val="000000"/>
          <w:lang w:eastAsia="ko-KR"/>
        </w:rPr>
        <w:fldChar w:fldCharType="separate"/>
      </w:r>
      <w:r w:rsidRPr="002C45E7">
        <w:rPr>
          <w:rFonts w:asciiTheme="majorBidi" w:eastAsia="BatangChe" w:hAnsiTheme="majorBidi" w:cstheme="majorBidi"/>
          <w:color w:val="000000"/>
          <w:lang w:eastAsia="ko-KR"/>
        </w:rPr>
        <w:t>(Harga Emas, n.d.)</w:t>
      </w:r>
      <w:r w:rsidRPr="002C45E7">
        <w:rPr>
          <w:rFonts w:asciiTheme="majorBidi" w:eastAsia="BatangChe" w:hAnsiTheme="majorBidi" w:cstheme="majorBidi"/>
          <w:color w:val="000000"/>
          <w:lang w:eastAsia="ko-KR"/>
        </w:rPr>
        <w:fldChar w:fldCharType="end"/>
      </w:r>
      <w:r w:rsidRPr="002C45E7">
        <w:rPr>
          <w:rFonts w:asciiTheme="majorBidi" w:eastAsia="BatangChe" w:hAnsiTheme="majorBidi" w:cstheme="majorBidi"/>
          <w:color w:val="000000"/>
          <w:lang w:eastAsia="ko-KR"/>
        </w:rPr>
        <w:t>.</w:t>
      </w:r>
    </w:p>
    <w:p w:rsidR="002C45E7" w:rsidRPr="002C45E7" w:rsidRDefault="002C45E7" w:rsidP="002C45E7">
      <w:pPr>
        <w:spacing w:before="120" w:line="300" w:lineRule="auto"/>
        <w:jc w:val="center"/>
        <w:rPr>
          <w:rFonts w:asciiTheme="majorBidi" w:eastAsia="BatangChe" w:hAnsiTheme="majorBidi" w:cstheme="majorBidi"/>
          <w:b/>
          <w:bCs/>
          <w:color w:val="000000"/>
          <w:lang w:eastAsia="ko-KR"/>
        </w:rPr>
      </w:pPr>
      <w:proofErr w:type="gramStart"/>
      <w:r w:rsidRPr="002C45E7">
        <w:rPr>
          <w:rFonts w:asciiTheme="majorBidi" w:eastAsia="BatangChe" w:hAnsiTheme="majorBidi" w:cstheme="majorBidi"/>
          <w:b/>
          <w:bCs/>
          <w:color w:val="000000"/>
          <w:lang w:eastAsia="ko-KR"/>
        </w:rPr>
        <w:t>Figure 2.</w:t>
      </w:r>
      <w:proofErr w:type="gramEnd"/>
    </w:p>
    <w:p w:rsidR="002C45E7" w:rsidRPr="002C45E7" w:rsidRDefault="002C45E7" w:rsidP="002C45E7">
      <w:pPr>
        <w:spacing w:line="300" w:lineRule="auto"/>
        <w:jc w:val="center"/>
        <w:rPr>
          <w:rFonts w:asciiTheme="majorBidi" w:hAnsiTheme="majorBidi" w:cstheme="majorBidi"/>
        </w:rPr>
      </w:pPr>
      <w:r w:rsidRPr="002C45E7">
        <w:rPr>
          <w:rFonts w:asciiTheme="majorBidi" w:eastAsia="BatangChe" w:hAnsiTheme="majorBidi" w:cstheme="majorBidi"/>
          <w:color w:val="000000"/>
          <w:lang w:eastAsia="ko-KR"/>
        </w:rPr>
        <w:t>Trend of Gold Price during Pandemic</w:t>
      </w:r>
    </w:p>
    <w:p w:rsidR="00C77BA0" w:rsidRPr="00342F5C" w:rsidRDefault="00BE3458" w:rsidP="002C45E7">
      <w:pPr>
        <w:spacing w:line="300" w:lineRule="auto"/>
        <w:jc w:val="center"/>
      </w:pPr>
      <w:r>
        <w:rPr>
          <w:noProof/>
        </w:rPr>
        <w:drawing>
          <wp:inline distT="0" distB="0" distL="0" distR="0">
            <wp:extent cx="4613801" cy="2043770"/>
            <wp:effectExtent l="19050" t="19050" r="15875" b="139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b="4843"/>
                    <a:stretch>
                      <a:fillRect/>
                    </a:stretch>
                  </pic:blipFill>
                  <pic:spPr bwMode="auto">
                    <a:xfrm>
                      <a:off x="0" y="0"/>
                      <a:ext cx="4619239" cy="2046179"/>
                    </a:xfrm>
                    <a:prstGeom prst="rect">
                      <a:avLst/>
                    </a:prstGeom>
                    <a:noFill/>
                    <a:ln w="9525" cmpd="sng">
                      <a:solidFill>
                        <a:srgbClr val="7F7F7F"/>
                      </a:solidFill>
                      <a:miter lim="800000"/>
                      <a:headEnd/>
                      <a:tailEnd/>
                    </a:ln>
                    <a:effectLst/>
                  </pic:spPr>
                </pic:pic>
              </a:graphicData>
            </a:graphic>
          </wp:inline>
        </w:drawing>
      </w:r>
    </w:p>
    <w:p w:rsidR="00C77BA0" w:rsidRPr="00C77BA0" w:rsidRDefault="00C77BA0" w:rsidP="002C45E7">
      <w:pPr>
        <w:spacing w:before="120" w:line="300" w:lineRule="auto"/>
        <w:jc w:val="center"/>
        <w:rPr>
          <w:rFonts w:ascii="Garamond" w:eastAsia="BatangChe" w:hAnsi="Garamond"/>
          <w:color w:val="000000"/>
          <w:lang w:eastAsia="ko-KR"/>
        </w:rPr>
      </w:pPr>
      <w:r w:rsidRPr="00C77BA0">
        <w:rPr>
          <w:rFonts w:ascii="Garamond" w:eastAsia="BatangChe" w:hAnsi="Garamond"/>
          <w:color w:val="000000"/>
          <w:lang w:eastAsia="ko-KR"/>
        </w:rPr>
        <w:t xml:space="preserve">Source: </w:t>
      </w:r>
      <w:proofErr w:type="spellStart"/>
      <w:r w:rsidRPr="00C77BA0">
        <w:rPr>
          <w:rFonts w:ascii="Garamond" w:eastAsia="BatangChe" w:hAnsi="Garamond"/>
          <w:color w:val="000000"/>
          <w:lang w:eastAsia="ko-KR"/>
        </w:rPr>
        <w:t>Logam</w:t>
      </w:r>
      <w:proofErr w:type="spellEnd"/>
      <w:r w:rsidRPr="00C77BA0">
        <w:rPr>
          <w:rFonts w:ascii="Garamond" w:eastAsia="BatangChe" w:hAnsi="Garamond"/>
          <w:color w:val="000000"/>
          <w:lang w:eastAsia="ko-KR"/>
        </w:rPr>
        <w:t xml:space="preserve"> </w:t>
      </w:r>
      <w:proofErr w:type="spellStart"/>
      <w:r w:rsidRPr="00C77BA0">
        <w:rPr>
          <w:rFonts w:ascii="Garamond" w:eastAsia="BatangChe" w:hAnsi="Garamond"/>
          <w:color w:val="000000"/>
          <w:lang w:eastAsia="ko-KR"/>
        </w:rPr>
        <w:t>Mulia</w:t>
      </w:r>
      <w:proofErr w:type="spellEnd"/>
      <w:r w:rsidRPr="00C77BA0">
        <w:rPr>
          <w:rFonts w:ascii="Garamond" w:eastAsia="BatangChe" w:hAnsi="Garamond"/>
          <w:color w:val="000000"/>
          <w:lang w:eastAsia="ko-KR"/>
        </w:rPr>
        <w:t xml:space="preserve"> (accessed on January 2023)</w:t>
      </w:r>
    </w:p>
    <w:p w:rsidR="00C77BA0" w:rsidRPr="002C45E7" w:rsidRDefault="00C77BA0" w:rsidP="002C45E7">
      <w:pPr>
        <w:pStyle w:val="Body"/>
        <w:spacing w:before="120"/>
        <w:ind w:firstLine="709"/>
        <w:rPr>
          <w:rFonts w:asciiTheme="majorBidi" w:hAnsiTheme="majorBidi" w:cstheme="majorBidi"/>
          <w:color w:val="000000"/>
          <w:szCs w:val="24"/>
        </w:rPr>
      </w:pPr>
      <w:r w:rsidRPr="002C45E7">
        <w:rPr>
          <w:rFonts w:asciiTheme="majorBidi" w:hAnsiTheme="majorBidi" w:cstheme="majorBidi"/>
          <w:color w:val="000000"/>
          <w:szCs w:val="24"/>
        </w:rPr>
        <w:t xml:space="preserve">Figure 2 not only displays a fluctuating graph, but also a significant increase of gold prices before, during, and after the COVID-19 pandemic. It means gold investment is very profitable. It is related to previous research that mentioned gold performed relatively better than many other assets in the early pandemic stages </w:t>
      </w:r>
      <w:r w:rsidRPr="002C45E7">
        <w:rPr>
          <w:rFonts w:asciiTheme="majorBidi" w:hAnsiTheme="majorBidi" w:cstheme="majorBidi"/>
          <w:color w:val="000000"/>
          <w:szCs w:val="24"/>
        </w:rPr>
        <w:fldChar w:fldCharType="begin" w:fldLock="1"/>
      </w:r>
      <w:r w:rsidRPr="002C45E7">
        <w:rPr>
          <w:rFonts w:asciiTheme="majorBidi" w:hAnsiTheme="majorBidi" w:cstheme="majorBidi"/>
          <w:color w:val="000000"/>
          <w:szCs w:val="24"/>
        </w:rPr>
        <w:instrText>ADDIN CSL_CITATION {"citationItems":[{"id":"ITEM-1","itemData":{"DOI":"10.1016/j.econmod.2021.105588","ISSN":"02649993","abstract":"This study examines the role of gold as a hedge or safe-haven asset in different phases of the COVID-19 pandemic crisis, corresponding to the timing of fiscal and monetary stimuli to support the weakened economy. Using high-frequency data, the results show that gold served as a safe-haven asset for stock markets during Phase I (December 31, 2019–March 16, 2020) of the pandemic. However, gold lost its safe-haven role during Phase II (March 17−April 24, 2020). The optimal weights of gold in S&amp;P 500, Euro Stoxx 50, Nikkei 225, and WTI crude oil portfolios significantly increased during Phase II, suggesting that investors expanded investment in gold as a ‘flight-to-safety asset’ during the crisis. Further, hedging costs increased significantly during Phase II. These findings provide insight for individual and institutional investors and guidance to policymakers, regulators, and media on how gold evolved as a hedge and safe-haven asset in different phases of the pandemic.","author":[{"dropping-particle":"","family":"Akhtaruzzaman","given":"Md","non-dropping-particle":"","parse-names":false,"suffix":""},{"dropping-particle":"","family":"Boubaker","given":"Sabri","non-dropping-particle":"","parse-names":false,"suffix":""},{"dropping-particle":"","family":"Lucey","given":"Brian M.","non-dropping-particle":"","parse-names":false,"suffix":""},{"dropping-particle":"","family":"Sensoy","given":"Ahmet","non-dropping-particle":"","parse-names":false,"suffix":""}],"container-title":"Economic Modelling","id":"ITEM-1","issue":"June","issued":{"date-parts":[["2021"]]},"page":"105588","publisher":"Elsevier Ltd","title":"Is gold a hedge or a safe-haven asset in the COVID–19 crisis?","type":"article-journal","volume":"102"},"uris":["http://www.mendeley.com/documents/?uuid=1baa0df0-7a11-4e6e-a835-4ed6c07698b0"]}],"mendeley":{"formattedCitation":"(Akhtaruzzaman et al., 2021)","plainTextFormattedCitation":"(Akhtaruzzaman et al., 2021)","previouslyFormattedCitation":"Md Akhtaruzzaman et al., “Is Gold a Hedge or a Safe-Haven Asset in the COVID–19 Crisis?,” &lt;i&gt;Economic Modelling&lt;/i&gt; 102, no. June (2021): 105588, https://doi.org/10.1016/j.econmod.2021.105588."},"properties":{"noteIndex":0},"schema":"https://github.com/citation-style-language/schema/raw/master/csl-citation.json"}</w:instrText>
      </w:r>
      <w:r w:rsidRPr="002C45E7">
        <w:rPr>
          <w:rFonts w:asciiTheme="majorBidi" w:hAnsiTheme="majorBidi" w:cstheme="majorBidi"/>
          <w:color w:val="000000"/>
          <w:szCs w:val="24"/>
        </w:rPr>
        <w:fldChar w:fldCharType="separate"/>
      </w:r>
      <w:r w:rsidRPr="002C45E7">
        <w:rPr>
          <w:rFonts w:asciiTheme="majorBidi" w:hAnsiTheme="majorBidi" w:cstheme="majorBidi"/>
          <w:color w:val="000000"/>
          <w:szCs w:val="24"/>
        </w:rPr>
        <w:t>(Akhtaruzzaman et al., 2021)</w:t>
      </w:r>
      <w:r w:rsidRPr="002C45E7">
        <w:rPr>
          <w:rFonts w:asciiTheme="majorBidi" w:hAnsiTheme="majorBidi" w:cstheme="majorBidi"/>
          <w:color w:val="000000"/>
          <w:szCs w:val="24"/>
        </w:rPr>
        <w:fldChar w:fldCharType="end"/>
      </w:r>
      <w:r w:rsidRPr="002C45E7">
        <w:rPr>
          <w:rFonts w:asciiTheme="majorBidi" w:hAnsiTheme="majorBidi" w:cstheme="majorBidi"/>
          <w:color w:val="000000"/>
          <w:szCs w:val="24"/>
        </w:rPr>
        <w:t>.</w:t>
      </w:r>
    </w:p>
    <w:p w:rsidR="00A01C21" w:rsidRPr="00694646" w:rsidRDefault="00A01C21" w:rsidP="002C45E7">
      <w:pPr>
        <w:pStyle w:val="Heading2"/>
        <w:spacing w:before="240" w:after="120"/>
        <w:rPr>
          <w:rFonts w:ascii="Garamond" w:hAnsi="Garamond"/>
          <w:color w:val="000000"/>
        </w:rPr>
      </w:pPr>
      <w:r w:rsidRPr="00694646">
        <w:rPr>
          <w:rFonts w:ascii="Garamond" w:hAnsi="Garamond"/>
          <w:color w:val="000000"/>
        </w:rPr>
        <w:t xml:space="preserve">3. </w:t>
      </w:r>
      <w:r w:rsidR="00C77BA0" w:rsidRPr="00C77BA0">
        <w:rPr>
          <w:rFonts w:ascii="Garamond" w:hAnsi="Garamond"/>
          <w:color w:val="000000"/>
        </w:rPr>
        <w:t>Digital Gold on Islamic Economic Perspective</w:t>
      </w:r>
      <w:r w:rsidR="00C77BA0" w:rsidRPr="00694646">
        <w:rPr>
          <w:rFonts w:ascii="Garamond" w:hAnsi="Garamond"/>
          <w:color w:val="000000"/>
        </w:rPr>
        <w:t xml:space="preserve"> </w:t>
      </w:r>
    </w:p>
    <w:p w:rsidR="00A01C21" w:rsidRPr="002C45E7" w:rsidRDefault="00C77BA0" w:rsidP="002C45E7">
      <w:pPr>
        <w:pStyle w:val="Body"/>
        <w:spacing w:before="120"/>
        <w:ind w:firstLine="709"/>
        <w:rPr>
          <w:rFonts w:asciiTheme="majorBidi" w:hAnsiTheme="majorBidi" w:cstheme="majorBidi"/>
          <w:color w:val="000000"/>
          <w:szCs w:val="24"/>
        </w:rPr>
      </w:pPr>
      <w:r w:rsidRPr="002C45E7">
        <w:rPr>
          <w:rFonts w:asciiTheme="majorBidi" w:hAnsiTheme="majorBidi" w:cstheme="majorBidi"/>
          <w:color w:val="000000"/>
          <w:szCs w:val="24"/>
        </w:rPr>
        <w:t xml:space="preserve">Study which was conducted by Arafat and </w:t>
      </w:r>
      <w:proofErr w:type="spellStart"/>
      <w:r w:rsidRPr="002C45E7">
        <w:rPr>
          <w:rFonts w:asciiTheme="majorBidi" w:hAnsiTheme="majorBidi" w:cstheme="majorBidi"/>
          <w:color w:val="000000"/>
          <w:szCs w:val="24"/>
        </w:rPr>
        <w:t>Krismono</w:t>
      </w:r>
      <w:proofErr w:type="spellEnd"/>
      <w:r w:rsidRPr="002C45E7">
        <w:rPr>
          <w:rFonts w:asciiTheme="majorBidi" w:hAnsiTheme="majorBidi" w:cstheme="majorBidi"/>
          <w:color w:val="000000"/>
          <w:szCs w:val="24"/>
        </w:rPr>
        <w:t xml:space="preserve"> (2022) shown that there are 2 argument or opinion related to digital gold investment, the first is digital gold investment is forbidden because the payment by credit not cash. Four </w:t>
      </w:r>
      <w:proofErr w:type="spellStart"/>
      <w:r w:rsidRPr="002C45E7">
        <w:rPr>
          <w:rFonts w:asciiTheme="majorBidi" w:hAnsiTheme="majorBidi" w:cstheme="majorBidi"/>
          <w:i/>
          <w:iCs/>
          <w:color w:val="000000"/>
          <w:szCs w:val="24"/>
        </w:rPr>
        <w:t>madzhabs</w:t>
      </w:r>
      <w:proofErr w:type="spellEnd"/>
      <w:r w:rsidRPr="002C45E7">
        <w:rPr>
          <w:rFonts w:asciiTheme="majorBidi" w:hAnsiTheme="majorBidi" w:cstheme="majorBidi"/>
          <w:i/>
          <w:iCs/>
          <w:color w:val="000000"/>
          <w:szCs w:val="24"/>
        </w:rPr>
        <w:t>'</w:t>
      </w:r>
      <w:r w:rsidRPr="002C45E7">
        <w:rPr>
          <w:rFonts w:asciiTheme="majorBidi" w:hAnsiTheme="majorBidi" w:cstheme="majorBidi"/>
          <w:color w:val="000000"/>
          <w:szCs w:val="24"/>
        </w:rPr>
        <w:t xml:space="preserve"> opinion is transaction must be </w:t>
      </w:r>
      <w:proofErr w:type="gramStart"/>
      <w:r w:rsidRPr="002C45E7">
        <w:rPr>
          <w:rFonts w:asciiTheme="majorBidi" w:hAnsiTheme="majorBidi" w:cstheme="majorBidi"/>
          <w:color w:val="000000"/>
          <w:szCs w:val="24"/>
        </w:rPr>
        <w:t>meet</w:t>
      </w:r>
      <w:proofErr w:type="gramEnd"/>
      <w:r w:rsidRPr="002C45E7">
        <w:rPr>
          <w:rFonts w:asciiTheme="majorBidi" w:hAnsiTheme="majorBidi" w:cstheme="majorBidi"/>
          <w:color w:val="000000"/>
          <w:szCs w:val="24"/>
        </w:rPr>
        <w:t xml:space="preserve"> the requirements where the transaction must be done in cash in </w:t>
      </w:r>
      <w:r w:rsidR="002C45E7">
        <w:rPr>
          <w:rFonts w:asciiTheme="majorBidi" w:hAnsiTheme="majorBidi" w:cstheme="majorBidi"/>
          <w:color w:val="000000"/>
          <w:szCs w:val="24"/>
        </w:rPr>
        <w:t>order to prevent the usury (</w:t>
      </w:r>
      <w:r w:rsidRPr="002C45E7">
        <w:rPr>
          <w:rFonts w:asciiTheme="majorBidi" w:hAnsiTheme="majorBidi" w:cstheme="majorBidi"/>
          <w:color w:val="000000"/>
          <w:szCs w:val="24"/>
        </w:rPr>
        <w:t xml:space="preserve">included in usury </w:t>
      </w:r>
      <w:proofErr w:type="spellStart"/>
      <w:r w:rsidRPr="002C45E7">
        <w:rPr>
          <w:rFonts w:asciiTheme="majorBidi" w:hAnsiTheme="majorBidi" w:cstheme="majorBidi"/>
          <w:color w:val="000000"/>
          <w:szCs w:val="24"/>
        </w:rPr>
        <w:t>nasi'ah</w:t>
      </w:r>
      <w:proofErr w:type="spellEnd"/>
      <w:r w:rsidRPr="002C45E7">
        <w:rPr>
          <w:rFonts w:asciiTheme="majorBidi" w:hAnsiTheme="majorBidi" w:cstheme="majorBidi"/>
          <w:color w:val="000000"/>
          <w:szCs w:val="24"/>
        </w:rPr>
        <w:t xml:space="preserve">). The second are </w:t>
      </w:r>
      <w:proofErr w:type="spellStart"/>
      <w:r w:rsidRPr="002C45E7">
        <w:rPr>
          <w:rFonts w:asciiTheme="majorBidi" w:hAnsiTheme="majorBidi" w:cstheme="majorBidi"/>
          <w:color w:val="000000"/>
          <w:szCs w:val="24"/>
        </w:rPr>
        <w:t>Ibn</w:t>
      </w:r>
      <w:proofErr w:type="spellEnd"/>
      <w:r w:rsidRPr="002C45E7">
        <w:rPr>
          <w:rFonts w:asciiTheme="majorBidi" w:hAnsiTheme="majorBidi" w:cstheme="majorBidi"/>
          <w:color w:val="000000"/>
          <w:szCs w:val="24"/>
        </w:rPr>
        <w:t xml:space="preserve"> </w:t>
      </w:r>
      <w:proofErr w:type="spellStart"/>
      <w:r w:rsidRPr="002C45E7">
        <w:rPr>
          <w:rFonts w:asciiTheme="majorBidi" w:hAnsiTheme="majorBidi" w:cstheme="majorBidi"/>
          <w:color w:val="000000"/>
          <w:szCs w:val="24"/>
        </w:rPr>
        <w:t>Taimiyah's</w:t>
      </w:r>
      <w:proofErr w:type="spellEnd"/>
      <w:r w:rsidRPr="002C45E7">
        <w:rPr>
          <w:rFonts w:asciiTheme="majorBidi" w:hAnsiTheme="majorBidi" w:cstheme="majorBidi"/>
          <w:color w:val="000000"/>
          <w:szCs w:val="24"/>
        </w:rPr>
        <w:t xml:space="preserve"> opinion and DSN-MUI regulation shown that as long the transaction fulfill the requirement, it is allowed </w:t>
      </w:r>
      <w:r w:rsidRPr="002C45E7">
        <w:rPr>
          <w:rFonts w:asciiTheme="majorBidi" w:hAnsiTheme="majorBidi" w:cstheme="majorBidi"/>
          <w:color w:val="000000"/>
          <w:szCs w:val="24"/>
        </w:rPr>
        <w:fldChar w:fldCharType="begin" w:fldLock="1"/>
      </w:r>
      <w:r w:rsidRPr="002C45E7">
        <w:rPr>
          <w:rFonts w:asciiTheme="majorBidi" w:hAnsiTheme="majorBidi" w:cstheme="majorBidi"/>
          <w:color w:val="000000"/>
          <w:szCs w:val="24"/>
        </w:rPr>
        <w:instrText>ADDIN CSL_CITATION {"citationItems":[{"id":"ITEM-1","itemData":{"abstract":"This study is intended to explain the Islamic law review of investment. This research method is carried out by reading reference books, journals and other media related to investment. This research shows that investment is an activity to place funds in one or more types of assets during a certain period with the hope of earning income and / or an increase in investment value in the future. In investing, Islam has described good and correct procedures to avoid losses. The legal basis regarding investment is contained in several verses in the Al-Qur'an, including: QS. al-Baqarah: 261, QS. An-Nisa ':: 9, Lukman: 34 and al-Hasyr: 18. Islam allows investment on condition that the investment must meet the rules in accordance with Islamic law.","author":[{"dropping-particle":"","family":"Arafat","given":"Muhammad","non-dropping-particle":"","parse-names":false,"suffix":""}],"container-title":"Jurnal At-Tsaman","id":"ITEM-1","issue":"1","issued":{"date-parts":[["2022"]]},"page":"152-161","title":"Tinjauan Hukum Islam Terhadap Investasi Emas Online Melalui TokopediaEmas","type":"article-journal","volume":"2"},"uris":["http://www.mendeley.com/documents/?uuid=d294354c-406d-42a5-b39f-d24c1e51a6ff"]}],"mendeley":{"formattedCitation":"(Arafat, 2022)","plainTextFormattedCitation":"(Arafat, 2022)","previouslyFormattedCitation":"Muhammad Arafat, “Tinjauan Hukum Islam Terhadap Investasi Emas Online Melalui TokopediaEmas,” &lt;i&gt;Jurnal At-Tsaman&lt;/i&gt; 2, no. 1 (2022): 152–61."},"properties":{"noteIndex":0},"schema":"https://github.com/citation-style-language/schema/raw/master/csl-citation.json"}</w:instrText>
      </w:r>
      <w:r w:rsidRPr="002C45E7">
        <w:rPr>
          <w:rFonts w:asciiTheme="majorBidi" w:hAnsiTheme="majorBidi" w:cstheme="majorBidi"/>
          <w:color w:val="000000"/>
          <w:szCs w:val="24"/>
        </w:rPr>
        <w:fldChar w:fldCharType="separate"/>
      </w:r>
      <w:r w:rsidRPr="002C45E7">
        <w:rPr>
          <w:rFonts w:asciiTheme="majorBidi" w:hAnsiTheme="majorBidi" w:cstheme="majorBidi"/>
          <w:color w:val="000000"/>
          <w:szCs w:val="24"/>
        </w:rPr>
        <w:t>(Arafat, 2022)</w:t>
      </w:r>
      <w:r w:rsidRPr="002C45E7">
        <w:rPr>
          <w:rFonts w:asciiTheme="majorBidi" w:hAnsiTheme="majorBidi" w:cstheme="majorBidi"/>
          <w:color w:val="000000"/>
          <w:szCs w:val="24"/>
        </w:rPr>
        <w:fldChar w:fldCharType="end"/>
      </w:r>
      <w:r w:rsidRPr="002C45E7">
        <w:rPr>
          <w:rFonts w:asciiTheme="majorBidi" w:hAnsiTheme="majorBidi" w:cstheme="majorBidi"/>
          <w:color w:val="000000"/>
          <w:szCs w:val="24"/>
        </w:rPr>
        <w:t>.</w:t>
      </w:r>
      <w:r w:rsidR="00A01C21" w:rsidRPr="002C45E7">
        <w:rPr>
          <w:rFonts w:asciiTheme="majorBidi" w:hAnsiTheme="majorBidi" w:cstheme="majorBidi"/>
          <w:color w:val="000000"/>
          <w:szCs w:val="24"/>
        </w:rPr>
        <w:t xml:space="preserve"> </w:t>
      </w:r>
    </w:p>
    <w:p w:rsidR="00A01C21" w:rsidRPr="002C45E7" w:rsidRDefault="008A72D4" w:rsidP="002C45E7">
      <w:pPr>
        <w:pStyle w:val="Heading2"/>
        <w:spacing w:before="240" w:after="120"/>
        <w:rPr>
          <w:rFonts w:asciiTheme="majorBidi" w:hAnsiTheme="majorBidi" w:cstheme="majorBidi"/>
          <w:color w:val="000000"/>
        </w:rPr>
      </w:pPr>
      <w:r w:rsidRPr="002C45E7">
        <w:rPr>
          <w:rFonts w:asciiTheme="majorBidi" w:hAnsiTheme="majorBidi" w:cstheme="majorBidi"/>
          <w:color w:val="000000"/>
        </w:rPr>
        <w:lastRenderedPageBreak/>
        <w:t>CONCLUSION</w:t>
      </w:r>
    </w:p>
    <w:p w:rsidR="009E0B33" w:rsidRPr="002C45E7" w:rsidRDefault="009E0B33" w:rsidP="002C45E7">
      <w:pPr>
        <w:pStyle w:val="Body"/>
        <w:spacing w:before="120"/>
        <w:ind w:firstLine="709"/>
        <w:rPr>
          <w:rFonts w:asciiTheme="majorBidi" w:hAnsiTheme="majorBidi" w:cstheme="majorBidi"/>
          <w:color w:val="000000"/>
          <w:szCs w:val="24"/>
        </w:rPr>
      </w:pPr>
      <w:r w:rsidRPr="002C45E7">
        <w:rPr>
          <w:rFonts w:asciiTheme="majorBidi" w:hAnsiTheme="majorBidi" w:cstheme="majorBidi"/>
          <w:color w:val="000000"/>
          <w:szCs w:val="24"/>
        </w:rPr>
        <w:t xml:space="preserve">Gold investment is really recommended because more profitable and gold performed relatively better than many other assets in the early pandemic stages. Besides that, trend of gold price showing the </w:t>
      </w:r>
      <w:proofErr w:type="spellStart"/>
      <w:r w:rsidRPr="002C45E7">
        <w:rPr>
          <w:rFonts w:asciiTheme="majorBidi" w:hAnsiTheme="majorBidi" w:cstheme="majorBidi"/>
          <w:color w:val="000000"/>
          <w:szCs w:val="24"/>
        </w:rPr>
        <w:t>the</w:t>
      </w:r>
      <w:proofErr w:type="spellEnd"/>
      <w:r w:rsidRPr="002C45E7">
        <w:rPr>
          <w:rFonts w:asciiTheme="majorBidi" w:hAnsiTheme="majorBidi" w:cstheme="majorBidi"/>
          <w:color w:val="000000"/>
          <w:szCs w:val="24"/>
        </w:rPr>
        <w:t xml:space="preserve"> fluctuation graph and the price is increase timely. And also, digital transaction is appointed on al-</w:t>
      </w:r>
      <w:proofErr w:type="spellStart"/>
      <w:r w:rsidRPr="002C45E7">
        <w:rPr>
          <w:rFonts w:asciiTheme="majorBidi" w:hAnsiTheme="majorBidi" w:cstheme="majorBidi"/>
          <w:color w:val="000000"/>
          <w:szCs w:val="24"/>
        </w:rPr>
        <w:t>qur’an</w:t>
      </w:r>
      <w:proofErr w:type="spellEnd"/>
      <w:r w:rsidRPr="002C45E7">
        <w:rPr>
          <w:rFonts w:asciiTheme="majorBidi" w:hAnsiTheme="majorBidi" w:cstheme="majorBidi"/>
          <w:color w:val="000000"/>
          <w:szCs w:val="24"/>
        </w:rPr>
        <w:t xml:space="preserve">, hadith and </w:t>
      </w:r>
      <w:r w:rsidR="002C45E7" w:rsidRPr="002C45E7">
        <w:rPr>
          <w:rFonts w:asciiTheme="majorBidi" w:hAnsiTheme="majorBidi" w:cstheme="majorBidi"/>
          <w:i/>
          <w:iCs/>
          <w:color w:val="000000"/>
          <w:szCs w:val="24"/>
        </w:rPr>
        <w:t>`</w:t>
      </w:r>
      <w:proofErr w:type="spellStart"/>
      <w:r w:rsidRPr="002C45E7">
        <w:rPr>
          <w:rFonts w:asciiTheme="majorBidi" w:hAnsiTheme="majorBidi" w:cstheme="majorBidi"/>
          <w:i/>
          <w:iCs/>
          <w:color w:val="000000"/>
          <w:szCs w:val="24"/>
        </w:rPr>
        <w:t>ijma</w:t>
      </w:r>
      <w:proofErr w:type="spellEnd"/>
      <w:r w:rsidRPr="002C45E7">
        <w:rPr>
          <w:rFonts w:asciiTheme="majorBidi" w:hAnsiTheme="majorBidi" w:cstheme="majorBidi"/>
          <w:i/>
          <w:iCs/>
          <w:color w:val="000000"/>
          <w:szCs w:val="24"/>
        </w:rPr>
        <w:t>’</w:t>
      </w:r>
      <w:r w:rsidRPr="002C45E7">
        <w:rPr>
          <w:rFonts w:asciiTheme="majorBidi" w:hAnsiTheme="majorBidi" w:cstheme="majorBidi"/>
          <w:color w:val="000000"/>
          <w:szCs w:val="24"/>
        </w:rPr>
        <w:t xml:space="preserve">. Meanwhile, there are two opinions regarding allowance and prohibition related to digital gold investment. First, it is forbidden because the payment by credit not cash. Four </w:t>
      </w:r>
      <w:proofErr w:type="spellStart"/>
      <w:r w:rsidRPr="002C45E7">
        <w:rPr>
          <w:rFonts w:asciiTheme="majorBidi" w:hAnsiTheme="majorBidi" w:cstheme="majorBidi"/>
          <w:i/>
          <w:iCs/>
          <w:color w:val="000000"/>
          <w:szCs w:val="24"/>
        </w:rPr>
        <w:t>madzhabs</w:t>
      </w:r>
      <w:proofErr w:type="spellEnd"/>
      <w:r w:rsidRPr="002C45E7">
        <w:rPr>
          <w:rFonts w:asciiTheme="majorBidi" w:hAnsiTheme="majorBidi" w:cstheme="majorBidi"/>
          <w:i/>
          <w:iCs/>
          <w:color w:val="000000"/>
          <w:szCs w:val="24"/>
        </w:rPr>
        <w:t>'</w:t>
      </w:r>
      <w:r w:rsidRPr="002C45E7">
        <w:rPr>
          <w:rFonts w:asciiTheme="majorBidi" w:hAnsiTheme="majorBidi" w:cstheme="majorBidi"/>
          <w:color w:val="000000"/>
          <w:szCs w:val="24"/>
        </w:rPr>
        <w:t xml:space="preserve"> </w:t>
      </w:r>
      <w:proofErr w:type="gramStart"/>
      <w:r w:rsidRPr="002C45E7">
        <w:rPr>
          <w:rFonts w:asciiTheme="majorBidi" w:hAnsiTheme="majorBidi" w:cstheme="majorBidi"/>
          <w:color w:val="000000"/>
          <w:szCs w:val="24"/>
        </w:rPr>
        <w:t>opinion are</w:t>
      </w:r>
      <w:proofErr w:type="gramEnd"/>
      <w:r w:rsidRPr="002C45E7">
        <w:rPr>
          <w:rFonts w:asciiTheme="majorBidi" w:hAnsiTheme="majorBidi" w:cstheme="majorBidi"/>
          <w:color w:val="000000"/>
          <w:szCs w:val="24"/>
        </w:rPr>
        <w:t xml:space="preserve"> transaction must be meet the requirements where the transaction must be done in cash in order to prevent the usury. The second are </w:t>
      </w:r>
      <w:proofErr w:type="spellStart"/>
      <w:r w:rsidRPr="002C45E7">
        <w:rPr>
          <w:rFonts w:asciiTheme="majorBidi" w:hAnsiTheme="majorBidi" w:cstheme="majorBidi"/>
          <w:color w:val="000000"/>
          <w:szCs w:val="24"/>
        </w:rPr>
        <w:t>Ibn</w:t>
      </w:r>
      <w:proofErr w:type="spellEnd"/>
      <w:r w:rsidRPr="002C45E7">
        <w:rPr>
          <w:rFonts w:asciiTheme="majorBidi" w:hAnsiTheme="majorBidi" w:cstheme="majorBidi"/>
          <w:color w:val="000000"/>
          <w:szCs w:val="24"/>
        </w:rPr>
        <w:t xml:space="preserve"> </w:t>
      </w:r>
      <w:proofErr w:type="spellStart"/>
      <w:r w:rsidRPr="002C45E7">
        <w:rPr>
          <w:rFonts w:asciiTheme="majorBidi" w:hAnsiTheme="majorBidi" w:cstheme="majorBidi"/>
          <w:color w:val="000000"/>
          <w:szCs w:val="24"/>
        </w:rPr>
        <w:t>Taimiyah's</w:t>
      </w:r>
      <w:proofErr w:type="spellEnd"/>
      <w:r w:rsidRPr="002C45E7">
        <w:rPr>
          <w:rFonts w:asciiTheme="majorBidi" w:hAnsiTheme="majorBidi" w:cstheme="majorBidi"/>
          <w:color w:val="000000"/>
          <w:szCs w:val="24"/>
        </w:rPr>
        <w:t xml:space="preserve"> opinion and DSN-MUI regulation shown that as long the transaction fulfill the requirement, it is allowed. Deeply research is </w:t>
      </w:r>
      <w:proofErr w:type="gramStart"/>
      <w:r w:rsidRPr="002C45E7">
        <w:rPr>
          <w:rFonts w:asciiTheme="majorBidi" w:hAnsiTheme="majorBidi" w:cstheme="majorBidi"/>
          <w:color w:val="000000"/>
          <w:szCs w:val="24"/>
        </w:rPr>
        <w:t>require</w:t>
      </w:r>
      <w:proofErr w:type="gramEnd"/>
      <w:r w:rsidRPr="002C45E7">
        <w:rPr>
          <w:rFonts w:asciiTheme="majorBidi" w:hAnsiTheme="majorBidi" w:cstheme="majorBidi"/>
          <w:color w:val="000000"/>
          <w:szCs w:val="24"/>
        </w:rPr>
        <w:t xml:space="preserve"> in order to change the community perspective to invest in digital gold.</w:t>
      </w:r>
    </w:p>
    <w:p w:rsidR="00D32285" w:rsidRPr="002C45E7" w:rsidRDefault="00D32285" w:rsidP="009E0B33">
      <w:pPr>
        <w:pStyle w:val="Body"/>
        <w:spacing w:before="120" w:line="240" w:lineRule="auto"/>
        <w:rPr>
          <w:rFonts w:asciiTheme="majorBidi" w:hAnsiTheme="majorBidi" w:cstheme="majorBidi"/>
          <w:color w:val="000000"/>
          <w:szCs w:val="24"/>
        </w:rPr>
      </w:pPr>
    </w:p>
    <w:p w:rsidR="000B2CA6" w:rsidRPr="00694646" w:rsidRDefault="000B2CA6" w:rsidP="000B2CA6">
      <w:pPr>
        <w:rPr>
          <w:rFonts w:ascii="Garamond" w:hAnsi="Garamond"/>
          <w:color w:val="000000"/>
        </w:rPr>
      </w:pPr>
    </w:p>
    <w:p w:rsidR="00A01C21" w:rsidRPr="00694646" w:rsidRDefault="00A01C21" w:rsidP="00551B67">
      <w:pPr>
        <w:pStyle w:val="Body"/>
        <w:spacing w:line="240" w:lineRule="auto"/>
        <w:ind w:firstLine="0"/>
        <w:rPr>
          <w:rFonts w:ascii="Garamond" w:hAnsi="Garamond"/>
          <w:color w:val="000000"/>
          <w:szCs w:val="24"/>
        </w:rPr>
      </w:pPr>
    </w:p>
    <w:p w:rsidR="00A01C21" w:rsidRPr="00694646" w:rsidRDefault="00A01C21" w:rsidP="000B2CA6">
      <w:pPr>
        <w:pStyle w:val="Body"/>
        <w:spacing w:line="240" w:lineRule="auto"/>
        <w:rPr>
          <w:rFonts w:ascii="Garamond" w:hAnsi="Garamond"/>
          <w:color w:val="000000"/>
          <w:szCs w:val="24"/>
        </w:rPr>
      </w:pPr>
    </w:p>
    <w:p w:rsidR="00A01C21" w:rsidRPr="00694646" w:rsidRDefault="00A01C21" w:rsidP="00551B67">
      <w:pPr>
        <w:rPr>
          <w:rFonts w:ascii="Garamond" w:hAnsi="Garamond"/>
          <w:color w:val="000000"/>
        </w:rPr>
      </w:pPr>
    </w:p>
    <w:p w:rsidR="00A01C21" w:rsidRPr="00694646" w:rsidRDefault="00A01C21" w:rsidP="00551B67">
      <w:pPr>
        <w:rPr>
          <w:rFonts w:ascii="Garamond" w:hAnsi="Garamond"/>
          <w:color w:val="000000"/>
        </w:rPr>
      </w:pPr>
    </w:p>
    <w:p w:rsidR="00A01C21" w:rsidRPr="00694646" w:rsidRDefault="00A01C21" w:rsidP="00551B67">
      <w:pPr>
        <w:rPr>
          <w:rFonts w:ascii="Garamond" w:hAnsi="Garamond"/>
          <w:color w:val="000000"/>
        </w:rPr>
      </w:pPr>
    </w:p>
    <w:p w:rsidR="00A01C21" w:rsidRPr="00694646" w:rsidRDefault="00A01C21" w:rsidP="00551B67">
      <w:pPr>
        <w:rPr>
          <w:rFonts w:ascii="Garamond" w:hAnsi="Garamond"/>
          <w:color w:val="000000"/>
        </w:rPr>
      </w:pPr>
    </w:p>
    <w:p w:rsidR="00A01C21" w:rsidRPr="00694646" w:rsidRDefault="00A01C21" w:rsidP="00551B67">
      <w:pPr>
        <w:rPr>
          <w:rFonts w:ascii="Garamond" w:hAnsi="Garamond"/>
          <w:color w:val="000000"/>
        </w:rPr>
      </w:pPr>
    </w:p>
    <w:p w:rsidR="00A01C21" w:rsidRPr="00694646" w:rsidRDefault="00A01C21" w:rsidP="00551B67">
      <w:pPr>
        <w:rPr>
          <w:rFonts w:ascii="Garamond" w:hAnsi="Garamond"/>
          <w:color w:val="000000"/>
        </w:rPr>
      </w:pPr>
    </w:p>
    <w:p w:rsidR="00A01C21" w:rsidRPr="00694646" w:rsidRDefault="00A01C21" w:rsidP="00551B67">
      <w:pPr>
        <w:rPr>
          <w:rFonts w:ascii="Garamond" w:hAnsi="Garamond"/>
          <w:color w:val="000000"/>
        </w:rPr>
      </w:pPr>
    </w:p>
    <w:p w:rsidR="00A01C21" w:rsidRPr="00694646" w:rsidRDefault="00A01C21" w:rsidP="00551B67">
      <w:pPr>
        <w:rPr>
          <w:rFonts w:ascii="Garamond" w:hAnsi="Garamond"/>
          <w:color w:val="000000"/>
        </w:rPr>
      </w:pPr>
    </w:p>
    <w:p w:rsidR="002979BD" w:rsidRDefault="002979BD" w:rsidP="00551B67">
      <w:pPr>
        <w:rPr>
          <w:rFonts w:ascii="Garamond" w:hAnsi="Garamond"/>
          <w:color w:val="000000"/>
        </w:rPr>
      </w:pPr>
    </w:p>
    <w:p w:rsidR="00CD0C5C" w:rsidRDefault="00CD0C5C" w:rsidP="00551B67">
      <w:pPr>
        <w:rPr>
          <w:rFonts w:ascii="Garamond" w:hAnsi="Garamond"/>
          <w:color w:val="000000"/>
        </w:rPr>
      </w:pPr>
    </w:p>
    <w:p w:rsidR="00CD0C5C" w:rsidRDefault="00CD0C5C" w:rsidP="00551B67">
      <w:pPr>
        <w:rPr>
          <w:rFonts w:ascii="Garamond" w:hAnsi="Garamond"/>
          <w:color w:val="000000"/>
        </w:rPr>
      </w:pPr>
    </w:p>
    <w:p w:rsidR="004A0FE2" w:rsidRDefault="004A0FE2" w:rsidP="00551B67">
      <w:pPr>
        <w:rPr>
          <w:rFonts w:ascii="Garamond" w:hAnsi="Garamond"/>
          <w:color w:val="000000"/>
        </w:rPr>
      </w:pPr>
    </w:p>
    <w:p w:rsidR="004A0FE2" w:rsidRDefault="004A0FE2" w:rsidP="00551B67">
      <w:pPr>
        <w:rPr>
          <w:rFonts w:ascii="Garamond" w:hAnsi="Garamond"/>
          <w:color w:val="000000"/>
        </w:rPr>
      </w:pPr>
    </w:p>
    <w:p w:rsidR="004A0FE2" w:rsidRDefault="004A0FE2" w:rsidP="00551B67">
      <w:pPr>
        <w:rPr>
          <w:rFonts w:ascii="Garamond" w:hAnsi="Garamond"/>
          <w:color w:val="000000"/>
        </w:rPr>
      </w:pPr>
    </w:p>
    <w:p w:rsidR="002B11B1" w:rsidRDefault="002B11B1" w:rsidP="00551B67">
      <w:pPr>
        <w:rPr>
          <w:rFonts w:ascii="Garamond" w:hAnsi="Garamond"/>
          <w:color w:val="000000"/>
        </w:rPr>
      </w:pPr>
    </w:p>
    <w:p w:rsidR="002B11B1" w:rsidRDefault="002B11B1" w:rsidP="00551B67">
      <w:pPr>
        <w:rPr>
          <w:rFonts w:ascii="Garamond" w:hAnsi="Garamond"/>
          <w:color w:val="000000"/>
        </w:rPr>
      </w:pPr>
    </w:p>
    <w:p w:rsidR="002B11B1" w:rsidRDefault="002B11B1" w:rsidP="00551B67">
      <w:pPr>
        <w:rPr>
          <w:rFonts w:ascii="Garamond" w:hAnsi="Garamond"/>
          <w:color w:val="000000"/>
        </w:rPr>
      </w:pPr>
    </w:p>
    <w:p w:rsidR="002B11B1" w:rsidRDefault="002B11B1" w:rsidP="00551B67">
      <w:pPr>
        <w:rPr>
          <w:rFonts w:ascii="Garamond" w:hAnsi="Garamond"/>
          <w:color w:val="000000"/>
        </w:rPr>
      </w:pPr>
    </w:p>
    <w:p w:rsidR="004A0FE2" w:rsidRDefault="004A0FE2" w:rsidP="00551B67">
      <w:pPr>
        <w:rPr>
          <w:rFonts w:ascii="Garamond" w:hAnsi="Garamond"/>
          <w:color w:val="000000"/>
        </w:rPr>
      </w:pPr>
    </w:p>
    <w:p w:rsidR="004A0FE2" w:rsidRDefault="004A0FE2" w:rsidP="004A0FE2">
      <w:pPr>
        <w:spacing w:line="300" w:lineRule="auto"/>
        <w:jc w:val="center"/>
        <w:rPr>
          <w:b/>
        </w:rPr>
      </w:pPr>
      <w:r>
        <w:rPr>
          <w:b/>
        </w:rPr>
        <w:lastRenderedPageBreak/>
        <w:t>REFERENCES</w:t>
      </w:r>
    </w:p>
    <w:p w:rsidR="004A0FE2" w:rsidRPr="000F47F9" w:rsidRDefault="004A0FE2" w:rsidP="004A0FE2">
      <w:pPr>
        <w:widowControl w:val="0"/>
        <w:autoSpaceDE w:val="0"/>
        <w:autoSpaceDN w:val="0"/>
        <w:adjustRightInd w:val="0"/>
        <w:spacing w:after="80"/>
        <w:ind w:left="709" w:hanging="709"/>
        <w:jc w:val="both"/>
        <w:rPr>
          <w:noProof/>
        </w:rPr>
      </w:pPr>
      <w:r>
        <w:fldChar w:fldCharType="begin" w:fldLock="1"/>
      </w:r>
      <w:r>
        <w:instrText xml:space="preserve">ADDIN Mendeley Bibliography CSL_BIBLIOGRAPHY </w:instrText>
      </w:r>
      <w:r>
        <w:fldChar w:fldCharType="separate"/>
      </w:r>
      <w:r w:rsidRPr="000F47F9">
        <w:rPr>
          <w:noProof/>
        </w:rPr>
        <w:t xml:space="preserve">Aeni, N. (2021). Pandemi COVID-19: Dampak Kesehatan, Ekonomi, &amp; Sosial. </w:t>
      </w:r>
      <w:r w:rsidRPr="000F47F9">
        <w:rPr>
          <w:i/>
          <w:iCs/>
          <w:noProof/>
        </w:rPr>
        <w:t>Jurnal Litbang: Media Informasi Penelitian, Pengembangan Dan IPTEK</w:t>
      </w:r>
      <w:r w:rsidRPr="000F47F9">
        <w:rPr>
          <w:noProof/>
        </w:rPr>
        <w:t xml:space="preserve">, </w:t>
      </w:r>
      <w:r w:rsidRPr="000F47F9">
        <w:rPr>
          <w:i/>
          <w:iCs/>
          <w:noProof/>
        </w:rPr>
        <w:t>17</w:t>
      </w:r>
      <w:r w:rsidRPr="000F47F9">
        <w:rPr>
          <w:noProof/>
        </w:rPr>
        <w:t>(1), 17–34. https://doi.org/10.33658/jl.v17i1.249</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Akhtaruzzaman, M., Boubaker, S., Lucey, B. M., &amp; Sensoy, A. (2021). Is gold a hedge or a safe-haven asset in the COVID–19 crisis? </w:t>
      </w:r>
      <w:r w:rsidRPr="000F47F9">
        <w:rPr>
          <w:i/>
          <w:iCs/>
          <w:noProof/>
        </w:rPr>
        <w:t>Economic Modelling</w:t>
      </w:r>
      <w:r w:rsidRPr="000F47F9">
        <w:rPr>
          <w:noProof/>
        </w:rPr>
        <w:t xml:space="preserve">, </w:t>
      </w:r>
      <w:r w:rsidRPr="000F47F9">
        <w:rPr>
          <w:i/>
          <w:iCs/>
          <w:noProof/>
        </w:rPr>
        <w:t>102</w:t>
      </w:r>
      <w:r w:rsidRPr="000F47F9">
        <w:rPr>
          <w:noProof/>
        </w:rPr>
        <w:t>(June), 105588. https://doi.org/10.1016/j.econmod.2021.105588</w:t>
      </w:r>
    </w:p>
    <w:p w:rsidR="004A0FE2" w:rsidRPr="002B11B1" w:rsidRDefault="004A0FE2" w:rsidP="004A0FE2">
      <w:pPr>
        <w:widowControl w:val="0"/>
        <w:autoSpaceDE w:val="0"/>
        <w:autoSpaceDN w:val="0"/>
        <w:adjustRightInd w:val="0"/>
        <w:spacing w:after="80"/>
        <w:ind w:left="709" w:hanging="709"/>
        <w:jc w:val="both"/>
        <w:rPr>
          <w:rFonts w:asciiTheme="majorBidi" w:hAnsiTheme="majorBidi" w:cstheme="majorBidi"/>
          <w:noProof/>
        </w:rPr>
      </w:pPr>
      <w:r w:rsidRPr="002B11B1">
        <w:rPr>
          <w:rFonts w:asciiTheme="majorBidi" w:hAnsiTheme="majorBidi" w:cstheme="majorBidi"/>
          <w:noProof/>
        </w:rPr>
        <w:t xml:space="preserve">Arafat, M. (2022). Tinjauan Hukum Islam Terhadap Investasi Emas Online Melalui TokopediaEmas. </w:t>
      </w:r>
      <w:r w:rsidRPr="002B11B1">
        <w:rPr>
          <w:rFonts w:asciiTheme="majorBidi" w:hAnsiTheme="majorBidi" w:cstheme="majorBidi"/>
          <w:i/>
          <w:iCs/>
          <w:noProof/>
        </w:rPr>
        <w:t>Jurnal At-Tsaman</w:t>
      </w:r>
      <w:r w:rsidRPr="002B11B1">
        <w:rPr>
          <w:rFonts w:asciiTheme="majorBidi" w:hAnsiTheme="majorBidi" w:cstheme="majorBidi"/>
          <w:noProof/>
        </w:rPr>
        <w:t xml:space="preserve">, </w:t>
      </w:r>
      <w:r w:rsidRPr="002B11B1">
        <w:rPr>
          <w:rFonts w:asciiTheme="majorBidi" w:hAnsiTheme="majorBidi" w:cstheme="majorBidi"/>
          <w:i/>
          <w:iCs/>
          <w:noProof/>
        </w:rPr>
        <w:t>2</w:t>
      </w:r>
      <w:r w:rsidRPr="002B11B1">
        <w:rPr>
          <w:rFonts w:asciiTheme="majorBidi" w:hAnsiTheme="majorBidi" w:cstheme="majorBidi"/>
          <w:noProof/>
        </w:rPr>
        <w:t>(1), 152–161.</w:t>
      </w:r>
    </w:p>
    <w:p w:rsidR="002B11B1" w:rsidRPr="002B11B1" w:rsidRDefault="002B11B1" w:rsidP="004A0FE2">
      <w:pPr>
        <w:widowControl w:val="0"/>
        <w:autoSpaceDE w:val="0"/>
        <w:autoSpaceDN w:val="0"/>
        <w:adjustRightInd w:val="0"/>
        <w:spacing w:after="80"/>
        <w:ind w:left="709" w:hanging="709"/>
        <w:jc w:val="both"/>
        <w:rPr>
          <w:rFonts w:asciiTheme="majorBidi" w:hAnsiTheme="majorBidi" w:cstheme="majorBidi"/>
          <w:noProof/>
        </w:rPr>
      </w:pPr>
      <w:r w:rsidRPr="002B11B1">
        <w:rPr>
          <w:rFonts w:asciiTheme="majorBidi" w:hAnsiTheme="majorBidi" w:cstheme="majorBidi"/>
          <w:color w:val="222222"/>
          <w:shd w:val="clear" w:color="auto" w:fill="FFFFFF"/>
        </w:rPr>
        <w:t>Budiman, B., Adawiyah, E. R., Syukri, M., Ibadurohmah, I., &amp; Wahrudin, U. (2023). Effect of Electronic Money Transactions on Customer Satisfaction According to Sharia Economy (Case Study at STAI La Tansa Mashiro). </w:t>
      </w:r>
      <w:r w:rsidRPr="002B11B1">
        <w:rPr>
          <w:rFonts w:asciiTheme="majorBidi" w:hAnsiTheme="majorBidi" w:cstheme="majorBidi"/>
          <w:i/>
          <w:iCs/>
          <w:color w:val="222222"/>
          <w:shd w:val="clear" w:color="auto" w:fill="FFFFFF"/>
        </w:rPr>
        <w:t>AL-FALAH: Journal of Islamic Economics</w:t>
      </w:r>
      <w:r w:rsidRPr="002B11B1">
        <w:rPr>
          <w:rFonts w:asciiTheme="majorBidi" w:hAnsiTheme="majorBidi" w:cstheme="majorBidi"/>
          <w:color w:val="222222"/>
          <w:shd w:val="clear" w:color="auto" w:fill="FFFFFF"/>
        </w:rPr>
        <w:t>, </w:t>
      </w:r>
      <w:r w:rsidRPr="002B11B1">
        <w:rPr>
          <w:rFonts w:asciiTheme="majorBidi" w:hAnsiTheme="majorBidi" w:cstheme="majorBidi"/>
          <w:i/>
          <w:iCs/>
          <w:color w:val="222222"/>
          <w:shd w:val="clear" w:color="auto" w:fill="FFFFFF"/>
        </w:rPr>
        <w:t>8</w:t>
      </w:r>
      <w:r w:rsidRPr="002B11B1">
        <w:rPr>
          <w:rFonts w:asciiTheme="majorBidi" w:hAnsiTheme="majorBidi" w:cstheme="majorBidi"/>
          <w:color w:val="222222"/>
          <w:shd w:val="clear" w:color="auto" w:fill="FFFFFF"/>
        </w:rPr>
        <w:t>(1), 97-118.</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Bouri, E., Shahzad, S. J. H., Roubaud, D., Kristoufek, L., &amp; Lucey, B. (2020). Bitcoin, gold, and commodities as safe havens for stocks: new insight through wavelet analysis. </w:t>
      </w:r>
      <w:r w:rsidRPr="000F47F9">
        <w:rPr>
          <w:i/>
          <w:iCs/>
          <w:noProof/>
        </w:rPr>
        <w:t>The Quarterly Review of Economics and Finance</w:t>
      </w:r>
      <w:r w:rsidRPr="000F47F9">
        <w:rPr>
          <w:noProof/>
        </w:rPr>
        <w:t xml:space="preserve">, </w:t>
      </w:r>
      <w:r w:rsidRPr="000F47F9">
        <w:rPr>
          <w:i/>
          <w:iCs/>
          <w:noProof/>
        </w:rPr>
        <w:t>77</w:t>
      </w:r>
      <w:r w:rsidRPr="000F47F9">
        <w:rPr>
          <w:noProof/>
        </w:rPr>
        <w:t>, 156–164. https://www.sciencedirect.com/science/article/abs/pii/S1062976920300326</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Chong, D., &amp; Ali, H. (2022). Literature Review: Competitive Strategy, Competitive Advantages, and Marketing Performance on E-Commerce Shopee Indonesia. </w:t>
      </w:r>
      <w:r w:rsidRPr="000F47F9">
        <w:rPr>
          <w:i/>
          <w:iCs/>
          <w:noProof/>
        </w:rPr>
        <w:t>Dinasti International Journal of Digital Business Management</w:t>
      </w:r>
      <w:r w:rsidRPr="000F47F9">
        <w:rPr>
          <w:noProof/>
        </w:rPr>
        <w:t xml:space="preserve">, </w:t>
      </w:r>
      <w:r w:rsidRPr="000F47F9">
        <w:rPr>
          <w:i/>
          <w:iCs/>
          <w:noProof/>
        </w:rPr>
        <w:t>3</w:t>
      </w:r>
      <w:r w:rsidRPr="000F47F9">
        <w:rPr>
          <w:noProof/>
        </w:rPr>
        <w:t>(2), 299–309. https://www.dinastipub.org/DIJDBM/article/view/1198</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Claessens, S., &amp; Kose, M. A. (2023). Recession: When Bad Times Prevail. </w:t>
      </w:r>
      <w:r w:rsidRPr="000F47F9">
        <w:rPr>
          <w:i/>
          <w:iCs/>
          <w:noProof/>
        </w:rPr>
        <w:t>International Monetory Fund</w:t>
      </w:r>
      <w:r w:rsidRPr="000F47F9">
        <w:rPr>
          <w:noProof/>
        </w:rPr>
        <w:t>. https://www.imf.org/external/pubs/ft/fandd/basics/recess.htm</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Coagulopathy, C.--associated, Iba, T., Warkentin, T. E., Thachil, J., Levi, M., &amp; Levy, J. H. (2021). Proposal of the Definition for. </w:t>
      </w:r>
      <w:r w:rsidRPr="000F47F9">
        <w:rPr>
          <w:i/>
          <w:iCs/>
          <w:noProof/>
        </w:rPr>
        <w:t>J Clin Med</w:t>
      </w:r>
      <w:r w:rsidRPr="000F47F9">
        <w:rPr>
          <w:noProof/>
        </w:rPr>
        <w:t xml:space="preserve">, </w:t>
      </w:r>
      <w:r w:rsidRPr="000F47F9">
        <w:rPr>
          <w:i/>
          <w:iCs/>
          <w:noProof/>
        </w:rPr>
        <w:t>10</w:t>
      </w:r>
      <w:r w:rsidRPr="000F47F9">
        <w:rPr>
          <w:noProof/>
        </w:rPr>
        <w:t>(191), 1–9.</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Darmastuti, S., Juned, M., Susanto, F. A., &amp; Al-Husin, R. N. (2021). COVID-19 dan Kebijakan dalam Menyikapi Resesi Ekonomi: Studi Kasus Indonesia, Filipina, dan Singapura. </w:t>
      </w:r>
      <w:r w:rsidRPr="000F47F9">
        <w:rPr>
          <w:i/>
          <w:iCs/>
          <w:noProof/>
        </w:rPr>
        <w:t>Jurnal Madani: Ilmu Pengetahuan, Teknologi, Dan Humaniora</w:t>
      </w:r>
      <w:r w:rsidRPr="000F47F9">
        <w:rPr>
          <w:noProof/>
        </w:rPr>
        <w:t xml:space="preserve">, </w:t>
      </w:r>
      <w:r w:rsidRPr="000F47F9">
        <w:rPr>
          <w:i/>
          <w:iCs/>
          <w:noProof/>
        </w:rPr>
        <w:t>4</w:t>
      </w:r>
      <w:r w:rsidRPr="000F47F9">
        <w:rPr>
          <w:noProof/>
        </w:rPr>
        <w:t>(1), 70–86. https://doi.org/10.33753/madani.v4i1.148</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Departemen Komunikasi, B. I. (2017). </w:t>
      </w:r>
      <w:r w:rsidRPr="000F47F9">
        <w:rPr>
          <w:i/>
          <w:iCs/>
          <w:noProof/>
        </w:rPr>
        <w:t>Peraturan Bank Indonesia No.19/12/PBI/2017 tentang Penyelenggaraan Teknologi Finansial</w:t>
      </w:r>
      <w:r w:rsidRPr="000F47F9">
        <w:rPr>
          <w:noProof/>
        </w:rPr>
        <w:t xml:space="preserve">. </w:t>
      </w:r>
      <w:r w:rsidRPr="000F47F9">
        <w:rPr>
          <w:noProof/>
        </w:rPr>
        <w:lastRenderedPageBreak/>
        <w:t>https://www.bi.go.id/id/publikasi/peraturan/Pages/pbi_191217.aspx</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DSN-MUI. (n.d.). </w:t>
      </w:r>
      <w:r w:rsidRPr="000F47F9">
        <w:rPr>
          <w:i/>
          <w:iCs/>
          <w:noProof/>
        </w:rPr>
        <w:t>No Title</w:t>
      </w:r>
      <w:r w:rsidRPr="000F47F9">
        <w:rPr>
          <w:noProof/>
        </w:rPr>
        <w:t>. https://dsnmui.or.id/</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Fauziah, A., &amp; Surya, M. E. (2016). Peluang Investasi Emas Jangka Panjang melalui Produk Pembiayaan Bsm Cicil Emas. </w:t>
      </w:r>
      <w:r w:rsidRPr="000F47F9">
        <w:rPr>
          <w:i/>
          <w:iCs/>
          <w:noProof/>
        </w:rPr>
        <w:t>Islamadina</w:t>
      </w:r>
      <w:r w:rsidRPr="000F47F9">
        <w:rPr>
          <w:noProof/>
        </w:rPr>
        <w:t xml:space="preserve">, </w:t>
      </w:r>
      <w:r w:rsidRPr="000F47F9">
        <w:rPr>
          <w:i/>
          <w:iCs/>
          <w:noProof/>
        </w:rPr>
        <w:t>XVI</w:t>
      </w:r>
      <w:r w:rsidRPr="000F47F9">
        <w:rPr>
          <w:noProof/>
        </w:rPr>
        <w:t>(1), 57–73.</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Fauziah, M. R. (2019). INVESTASI LOGAM MULIA (EMAS) DI PENGGADAIAN SYARIAH DALAM PERSFEKTIF HUKUM EKONOMI SYARIAH. </w:t>
      </w:r>
      <w:r w:rsidRPr="000F47F9">
        <w:rPr>
          <w:i/>
          <w:iCs/>
          <w:noProof/>
        </w:rPr>
        <w:t>E-Journal Institut Agama Islam Negeri Ambon</w:t>
      </w:r>
      <w:r w:rsidRPr="000F47F9">
        <w:rPr>
          <w:noProof/>
        </w:rPr>
        <w:t xml:space="preserve">, </w:t>
      </w:r>
      <w:r w:rsidRPr="000F47F9">
        <w:rPr>
          <w:i/>
          <w:iCs/>
          <w:noProof/>
        </w:rPr>
        <w:t>XV</w:t>
      </w:r>
      <w:r w:rsidRPr="000F47F9">
        <w:rPr>
          <w:noProof/>
        </w:rPr>
        <w:t>(1).</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Guénette, J. D., Kose, M. A., &amp; Sugawara, N. (2022). </w:t>
      </w:r>
      <w:r w:rsidRPr="000F47F9">
        <w:rPr>
          <w:i/>
          <w:iCs/>
          <w:noProof/>
        </w:rPr>
        <w:t>Is a Global Recession Imminent? EFI Policy Note 4</w:t>
      </w:r>
      <w:r w:rsidRPr="000F47F9">
        <w:rPr>
          <w:noProof/>
        </w:rPr>
        <w:t xml:space="preserve">. </w:t>
      </w:r>
      <w:r w:rsidRPr="000F47F9">
        <w:rPr>
          <w:i/>
          <w:iCs/>
          <w:noProof/>
        </w:rPr>
        <w:t>September</w:t>
      </w:r>
      <w:r w:rsidRPr="000F47F9">
        <w:rPr>
          <w:noProof/>
        </w:rPr>
        <w:t>, 1–37. https://www.worldbank.org/en/research/brief/global-recession</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Hardiati, N., &amp; Bisri, H. (2020). TINJAUAN HUKUM INVESTASI TERHADAP PASAR MODAL SYARIAH. </w:t>
      </w:r>
      <w:r w:rsidRPr="000F47F9">
        <w:rPr>
          <w:i/>
          <w:iCs/>
          <w:noProof/>
        </w:rPr>
        <w:t>Jurnal Indonesia Sosial Sains</w:t>
      </w:r>
      <w:r w:rsidRPr="000F47F9">
        <w:rPr>
          <w:noProof/>
        </w:rPr>
        <w:t xml:space="preserve">, </w:t>
      </w:r>
      <w:r w:rsidRPr="000F47F9">
        <w:rPr>
          <w:i/>
          <w:iCs/>
          <w:noProof/>
        </w:rPr>
        <w:t>1</w:t>
      </w:r>
      <w:r w:rsidRPr="000F47F9">
        <w:rPr>
          <w:noProof/>
        </w:rPr>
        <w:t>(September), 132–141.</w:t>
      </w:r>
    </w:p>
    <w:p w:rsidR="004A0FE2" w:rsidRPr="000F47F9" w:rsidRDefault="004A0FE2" w:rsidP="004A0FE2">
      <w:pPr>
        <w:widowControl w:val="0"/>
        <w:autoSpaceDE w:val="0"/>
        <w:autoSpaceDN w:val="0"/>
        <w:adjustRightInd w:val="0"/>
        <w:spacing w:after="80"/>
        <w:ind w:left="709" w:hanging="709"/>
        <w:jc w:val="both"/>
        <w:rPr>
          <w:noProof/>
        </w:rPr>
      </w:pPr>
      <w:r w:rsidRPr="000F47F9">
        <w:rPr>
          <w:i/>
          <w:iCs/>
          <w:noProof/>
        </w:rPr>
        <w:t>Harga Emas</w:t>
      </w:r>
      <w:r w:rsidRPr="000F47F9">
        <w:rPr>
          <w:noProof/>
        </w:rPr>
        <w:t>. (n.d.). https://www.logammulia.com/id/harga-emas-hari-ini</w:t>
      </w:r>
    </w:p>
    <w:p w:rsidR="004A0FE2" w:rsidRDefault="004A0FE2" w:rsidP="004A0FE2">
      <w:pPr>
        <w:widowControl w:val="0"/>
        <w:autoSpaceDE w:val="0"/>
        <w:autoSpaceDN w:val="0"/>
        <w:adjustRightInd w:val="0"/>
        <w:spacing w:after="80"/>
        <w:ind w:left="709" w:hanging="709"/>
        <w:jc w:val="both"/>
        <w:rPr>
          <w:noProof/>
        </w:rPr>
      </w:pPr>
      <w:r w:rsidRPr="000F47F9">
        <w:rPr>
          <w:noProof/>
        </w:rPr>
        <w:t xml:space="preserve">Hayati, M. (2016). Investasi menurut perspektif ekonomi islam. </w:t>
      </w:r>
      <w:r w:rsidRPr="000F47F9">
        <w:rPr>
          <w:i/>
          <w:iCs/>
          <w:noProof/>
        </w:rPr>
        <w:t>Journal of IslamicEconomics and Business</w:t>
      </w:r>
      <w:r w:rsidRPr="000F47F9">
        <w:rPr>
          <w:noProof/>
        </w:rPr>
        <w:t xml:space="preserve">, </w:t>
      </w:r>
      <w:r w:rsidRPr="000F47F9">
        <w:rPr>
          <w:i/>
          <w:iCs/>
          <w:noProof/>
        </w:rPr>
        <w:t>1</w:t>
      </w:r>
      <w:r w:rsidRPr="000F47F9">
        <w:rPr>
          <w:noProof/>
        </w:rPr>
        <w:t>(April), 66–78.</w:t>
      </w:r>
    </w:p>
    <w:p w:rsidR="002B11B1" w:rsidRPr="002B11B1" w:rsidRDefault="002B11B1" w:rsidP="004A0FE2">
      <w:pPr>
        <w:widowControl w:val="0"/>
        <w:autoSpaceDE w:val="0"/>
        <w:autoSpaceDN w:val="0"/>
        <w:adjustRightInd w:val="0"/>
        <w:spacing w:after="80"/>
        <w:ind w:left="709" w:hanging="709"/>
        <w:jc w:val="both"/>
        <w:rPr>
          <w:rFonts w:asciiTheme="majorBidi" w:hAnsiTheme="majorBidi" w:cstheme="majorBidi"/>
          <w:noProof/>
        </w:rPr>
      </w:pPr>
      <w:r w:rsidRPr="002B11B1">
        <w:rPr>
          <w:rFonts w:asciiTheme="majorBidi" w:hAnsiTheme="majorBidi" w:cstheme="majorBidi"/>
          <w:color w:val="222222"/>
          <w:shd w:val="clear" w:color="auto" w:fill="FFFFFF"/>
        </w:rPr>
        <w:t>Hendrianto, H., &amp; Yakin, I. A. (2023). The Diversity of Contemporary Islamic Economic Thoughts of Schools: Baqir As-Sadr, Mainstream and Alternative. </w:t>
      </w:r>
      <w:r w:rsidRPr="002B11B1">
        <w:rPr>
          <w:rFonts w:asciiTheme="majorBidi" w:hAnsiTheme="majorBidi" w:cstheme="majorBidi"/>
          <w:i/>
          <w:iCs/>
          <w:color w:val="222222"/>
          <w:shd w:val="clear" w:color="auto" w:fill="FFFFFF"/>
        </w:rPr>
        <w:t>AL-FALAH: Journal of Islamic Economics</w:t>
      </w:r>
      <w:r w:rsidRPr="002B11B1">
        <w:rPr>
          <w:rFonts w:asciiTheme="majorBidi" w:hAnsiTheme="majorBidi" w:cstheme="majorBidi"/>
          <w:color w:val="222222"/>
          <w:shd w:val="clear" w:color="auto" w:fill="FFFFFF"/>
        </w:rPr>
        <w:t>, </w:t>
      </w:r>
      <w:r w:rsidRPr="002B11B1">
        <w:rPr>
          <w:rFonts w:asciiTheme="majorBidi" w:hAnsiTheme="majorBidi" w:cstheme="majorBidi"/>
          <w:i/>
          <w:iCs/>
          <w:color w:val="222222"/>
          <w:shd w:val="clear" w:color="auto" w:fill="FFFFFF"/>
        </w:rPr>
        <w:t>8</w:t>
      </w:r>
      <w:r w:rsidRPr="002B11B1">
        <w:rPr>
          <w:rFonts w:asciiTheme="majorBidi" w:hAnsiTheme="majorBidi" w:cstheme="majorBidi"/>
          <w:color w:val="222222"/>
          <w:shd w:val="clear" w:color="auto" w:fill="FFFFFF"/>
        </w:rPr>
        <w:t>(1), 83-96.</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Huda, N., &amp; Nasution, M. E. (2007). </w:t>
      </w:r>
      <w:r w:rsidRPr="000F47F9">
        <w:rPr>
          <w:i/>
          <w:iCs/>
          <w:noProof/>
        </w:rPr>
        <w:t>Investasi Pada Pasar Modal Syariah</w:t>
      </w:r>
      <w:r w:rsidRPr="000F47F9">
        <w:rPr>
          <w:noProof/>
        </w:rPr>
        <w:t>. Kencana.</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Junaedi, D., &amp; Salistia, F. (2020). Dampak Pandemi COVID-19 Terhadap Pertumbuhan Ekonomi Negara-Negara Terdampak. In </w:t>
      </w:r>
      <w:r w:rsidRPr="000F47F9">
        <w:rPr>
          <w:i/>
          <w:iCs/>
          <w:noProof/>
        </w:rPr>
        <w:t>Simposium Nasional Keuangan Negara</w:t>
      </w:r>
      <w:r w:rsidRPr="000F47F9">
        <w:rPr>
          <w:noProof/>
        </w:rPr>
        <w:t xml:space="preserve"> (pp. 995–1115).</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K, R. S., Manav, S., K, S. R., &amp; J, S. (2017). </w:t>
      </w:r>
      <w:r w:rsidRPr="000F47F9">
        <w:rPr>
          <w:i/>
          <w:iCs/>
          <w:noProof/>
        </w:rPr>
        <w:t>Gold Price Estimation Using A Multi Variable Model</w:t>
      </w:r>
      <w:r w:rsidRPr="000F47F9">
        <w:rPr>
          <w:noProof/>
        </w:rPr>
        <w:t>.</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Mahdiyan, A. (2023, January 25). Perekonomian dunia diprediksi akan dihantam resesi tahun 2023, bagaimana dengan pembangunan infrastruktur? </w:t>
      </w:r>
      <w:r w:rsidRPr="000F47F9">
        <w:rPr>
          <w:i/>
          <w:iCs/>
          <w:noProof/>
        </w:rPr>
        <w:t>KPBU KEMENKEU</w:t>
      </w:r>
      <w:r w:rsidRPr="000F47F9">
        <w:rPr>
          <w:noProof/>
        </w:rPr>
        <w:t>. https://kpbu.kemenkeu.go.id/read/1173-1508/umum/kajian-opini-publik/perekonomian-dunia-diprediksi-akan-dihantam-resesi-tahun-2023-bagaimana-dengan-pembangunan-infrastruktur</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Muhammad, M. M. (2020). Transaksi E-Commerse Dalam Ekonomi Syariah. </w:t>
      </w:r>
      <w:r w:rsidRPr="000F47F9">
        <w:rPr>
          <w:i/>
          <w:iCs/>
          <w:noProof/>
        </w:rPr>
        <w:t>El-Iqthisadi : Jurnal Hukum Ekonomi Syariah Fakultas Syariah Dan Hukum</w:t>
      </w:r>
      <w:r w:rsidRPr="000F47F9">
        <w:rPr>
          <w:noProof/>
        </w:rPr>
        <w:t xml:space="preserve">, </w:t>
      </w:r>
      <w:r w:rsidRPr="000F47F9">
        <w:rPr>
          <w:i/>
          <w:iCs/>
          <w:noProof/>
        </w:rPr>
        <w:t>2</w:t>
      </w:r>
      <w:r w:rsidRPr="000F47F9">
        <w:rPr>
          <w:noProof/>
        </w:rPr>
        <w:t>(1), 76. https://doi.org/10.24252/el-iqthisadi.v2i1.14021</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lastRenderedPageBreak/>
        <w:t xml:space="preserve">Nasution, D. A. D., Erlina, E., &amp; Muda, I. (2020). Dampak Pandemi COVID-19 terhadap Perekonomian Indonesia. </w:t>
      </w:r>
      <w:r w:rsidRPr="000F47F9">
        <w:rPr>
          <w:i/>
          <w:iCs/>
          <w:noProof/>
        </w:rPr>
        <w:t>Jurnal Benefita</w:t>
      </w:r>
      <w:r w:rsidRPr="000F47F9">
        <w:rPr>
          <w:noProof/>
        </w:rPr>
        <w:t xml:space="preserve">, </w:t>
      </w:r>
      <w:r w:rsidRPr="000F47F9">
        <w:rPr>
          <w:i/>
          <w:iCs/>
          <w:noProof/>
        </w:rPr>
        <w:t>5</w:t>
      </w:r>
      <w:r w:rsidRPr="000F47F9">
        <w:rPr>
          <w:noProof/>
        </w:rPr>
        <w:t>(2), 212. https://doi.org/10.22216/jbe.v5i2.5313</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Panda, R., &amp; Sethi, M. (2016). Gold as an Investment Option in India: Myth and Reality. </w:t>
      </w:r>
      <w:r w:rsidRPr="000F47F9">
        <w:rPr>
          <w:i/>
          <w:iCs/>
          <w:noProof/>
        </w:rPr>
        <w:t>Indian Journal of Finance</w:t>
      </w:r>
      <w:r w:rsidRPr="000F47F9">
        <w:rPr>
          <w:noProof/>
        </w:rPr>
        <w:t xml:space="preserve">, </w:t>
      </w:r>
      <w:r w:rsidRPr="000F47F9">
        <w:rPr>
          <w:i/>
          <w:iCs/>
          <w:noProof/>
        </w:rPr>
        <w:t>10</w:t>
      </w:r>
      <w:r w:rsidRPr="000F47F9">
        <w:rPr>
          <w:noProof/>
        </w:rPr>
        <w:t xml:space="preserve">(5). https://ssrn.com/abstract=2878636 </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Pinto, M. J. (2016). An Analysis on Commodity Market with Special Reference to Gold. </w:t>
      </w:r>
      <w:r w:rsidRPr="000F47F9">
        <w:rPr>
          <w:i/>
          <w:iCs/>
          <w:noProof/>
        </w:rPr>
        <w:t>International Journal of Multi-Disciplinary Research</w:t>
      </w:r>
      <w:r w:rsidRPr="000F47F9">
        <w:rPr>
          <w:noProof/>
        </w:rPr>
        <w:t xml:space="preserve">, </w:t>
      </w:r>
      <w:r w:rsidRPr="000F47F9">
        <w:rPr>
          <w:i/>
          <w:iCs/>
          <w:noProof/>
        </w:rPr>
        <w:t>1</w:t>
      </w:r>
      <w:r w:rsidRPr="000F47F9">
        <w:rPr>
          <w:noProof/>
        </w:rPr>
        <w:t>(1), 1–8.</w:t>
      </w:r>
    </w:p>
    <w:p w:rsidR="004A0FE2" w:rsidRDefault="004A0FE2" w:rsidP="004A0FE2">
      <w:pPr>
        <w:widowControl w:val="0"/>
        <w:autoSpaceDE w:val="0"/>
        <w:autoSpaceDN w:val="0"/>
        <w:adjustRightInd w:val="0"/>
        <w:spacing w:after="80"/>
        <w:ind w:left="709" w:hanging="709"/>
        <w:jc w:val="both"/>
        <w:rPr>
          <w:noProof/>
        </w:rPr>
      </w:pPr>
      <w:r w:rsidRPr="000F47F9">
        <w:rPr>
          <w:noProof/>
        </w:rPr>
        <w:t xml:space="preserve">Rafika, N. A. A. (2021). </w:t>
      </w:r>
      <w:r w:rsidRPr="000F47F9">
        <w:rPr>
          <w:i/>
          <w:iCs/>
          <w:noProof/>
        </w:rPr>
        <w:t>TINJAUAN HUKUM ISLAM TENTANG INVESTASI EMAS ANEKA TAMBANG (Studi pada Pengguna Aplikasi Tamasia di Bandar Lampung)</w:t>
      </w:r>
      <w:r w:rsidRPr="000F47F9">
        <w:rPr>
          <w:noProof/>
        </w:rPr>
        <w:t>. UNIVERSITAS ISLAM NEGERI RADEN INTAN LAMPUNG.</w:t>
      </w:r>
    </w:p>
    <w:p w:rsidR="008666FA" w:rsidRPr="002B11B1" w:rsidRDefault="008666FA" w:rsidP="004A0FE2">
      <w:pPr>
        <w:widowControl w:val="0"/>
        <w:autoSpaceDE w:val="0"/>
        <w:autoSpaceDN w:val="0"/>
        <w:adjustRightInd w:val="0"/>
        <w:spacing w:after="80"/>
        <w:ind w:left="709" w:hanging="709"/>
        <w:jc w:val="both"/>
        <w:rPr>
          <w:rFonts w:asciiTheme="majorBidi" w:hAnsiTheme="majorBidi" w:cstheme="majorBidi"/>
          <w:noProof/>
        </w:rPr>
      </w:pPr>
      <w:r w:rsidRPr="002B11B1">
        <w:rPr>
          <w:rFonts w:asciiTheme="majorBidi" w:hAnsiTheme="majorBidi" w:cstheme="majorBidi"/>
          <w:color w:val="222222"/>
          <w:shd w:val="clear" w:color="auto" w:fill="FFFFFF"/>
        </w:rPr>
        <w:t>Ranaswijaya, R. (2023). Analysis of Monzer Kahf's Thoughts on the Phenomenon of Consumption in Modern Society. </w:t>
      </w:r>
      <w:r w:rsidRPr="002B11B1">
        <w:rPr>
          <w:rFonts w:asciiTheme="majorBidi" w:hAnsiTheme="majorBidi" w:cstheme="majorBidi"/>
          <w:i/>
          <w:iCs/>
          <w:color w:val="222222"/>
          <w:shd w:val="clear" w:color="auto" w:fill="FFFFFF"/>
        </w:rPr>
        <w:t>AL-FALAH: Journal of Islamic Economics</w:t>
      </w:r>
      <w:r w:rsidRPr="002B11B1">
        <w:rPr>
          <w:rFonts w:asciiTheme="majorBidi" w:hAnsiTheme="majorBidi" w:cstheme="majorBidi"/>
          <w:color w:val="222222"/>
          <w:shd w:val="clear" w:color="auto" w:fill="FFFFFF"/>
        </w:rPr>
        <w:t>, </w:t>
      </w:r>
      <w:r w:rsidRPr="002B11B1">
        <w:rPr>
          <w:rFonts w:asciiTheme="majorBidi" w:hAnsiTheme="majorBidi" w:cstheme="majorBidi"/>
          <w:i/>
          <w:iCs/>
          <w:color w:val="222222"/>
          <w:shd w:val="clear" w:color="auto" w:fill="FFFFFF"/>
        </w:rPr>
        <w:t>8</w:t>
      </w:r>
      <w:r w:rsidRPr="002B11B1">
        <w:rPr>
          <w:rFonts w:asciiTheme="majorBidi" w:hAnsiTheme="majorBidi" w:cstheme="majorBidi"/>
          <w:color w:val="222222"/>
          <w:shd w:val="clear" w:color="auto" w:fill="FFFFFF"/>
        </w:rPr>
        <w:t>(1), 119-132.</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S, K. C., M, S., &amp; S, N. S. (2016). Forecasting Gold Prices Based on Extreme Learning Machine. </w:t>
      </w:r>
      <w:r w:rsidRPr="000F47F9">
        <w:rPr>
          <w:i/>
          <w:iCs/>
          <w:noProof/>
        </w:rPr>
        <w:t>International Journal of Computers, Communications &amp; Control</w:t>
      </w:r>
      <w:r w:rsidRPr="000F47F9">
        <w:rPr>
          <w:noProof/>
        </w:rPr>
        <w:t xml:space="preserve">, </w:t>
      </w:r>
      <w:r w:rsidRPr="000F47F9">
        <w:rPr>
          <w:i/>
          <w:iCs/>
          <w:noProof/>
        </w:rPr>
        <w:t>11</w:t>
      </w:r>
      <w:r w:rsidRPr="000F47F9">
        <w:rPr>
          <w:noProof/>
        </w:rPr>
        <w:t>(3), 372.</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Saubani, A. (2022). PPKM Dicabut, Indonesia Masuki Masa Transisi dari Pandemi ke Endemi. </w:t>
      </w:r>
      <w:r w:rsidRPr="000F47F9">
        <w:rPr>
          <w:i/>
          <w:iCs/>
          <w:noProof/>
        </w:rPr>
        <w:t>Republika.Co.Id</w:t>
      </w:r>
      <w:r w:rsidRPr="000F47F9">
        <w:rPr>
          <w:noProof/>
        </w:rPr>
        <w:t>. https://www.republika.co.id/berita/rnpn7r409/ppkm-dicabut-indonesia-masuki-masa-transisi-dari-pandemi-ke-endemi</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Syukuri Nur, M. (2020). Tinjauan Pustaka Sistematis. </w:t>
      </w:r>
      <w:r w:rsidRPr="000F47F9">
        <w:rPr>
          <w:i/>
          <w:iCs/>
          <w:noProof/>
        </w:rPr>
        <w:t>Tinjauan Pustaka Sistematis</w:t>
      </w:r>
      <w:r w:rsidRPr="000F47F9">
        <w:rPr>
          <w:noProof/>
        </w:rPr>
        <w:t xml:space="preserve">, </w:t>
      </w:r>
      <w:r w:rsidRPr="000F47F9">
        <w:rPr>
          <w:i/>
          <w:iCs/>
          <w:noProof/>
        </w:rPr>
        <w:t>26861089</w:t>
      </w:r>
      <w:r w:rsidRPr="000F47F9">
        <w:rPr>
          <w:noProof/>
        </w:rPr>
        <w:t>(June), ix.</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Tsang, T. K., Wu, P., Lin, Y., Lau, E. H. Y., Leung, G. M., &amp; Cowling, B. J. (2020). Effect of changing case definitions for COVID-19 on the epidemic curve and transmission parameters in mainland China: a modelling study. </w:t>
      </w:r>
      <w:r w:rsidRPr="000F47F9">
        <w:rPr>
          <w:i/>
          <w:iCs/>
          <w:noProof/>
        </w:rPr>
        <w:t>The Lancet Public Health</w:t>
      </w:r>
      <w:r w:rsidRPr="000F47F9">
        <w:rPr>
          <w:noProof/>
        </w:rPr>
        <w:t xml:space="preserve">, </w:t>
      </w:r>
      <w:r w:rsidRPr="000F47F9">
        <w:rPr>
          <w:i/>
          <w:iCs/>
          <w:noProof/>
        </w:rPr>
        <w:t>5</w:t>
      </w:r>
      <w:r w:rsidRPr="000F47F9">
        <w:rPr>
          <w:noProof/>
        </w:rPr>
        <w:t>(5), e289–e296. https://doi.org/10.1016/S2468-2667(20)30089-X</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Udovita, P. V. M. V. D. (2020). Conceptual Review on Dimensions of Digital Transformation in Modern Era. </w:t>
      </w:r>
      <w:r w:rsidRPr="000F47F9">
        <w:rPr>
          <w:i/>
          <w:iCs/>
          <w:noProof/>
        </w:rPr>
        <w:t>International Journal of Scientific and Research Publications (IJSRP)</w:t>
      </w:r>
      <w:r w:rsidRPr="000F47F9">
        <w:rPr>
          <w:noProof/>
        </w:rPr>
        <w:t xml:space="preserve">, </w:t>
      </w:r>
      <w:r w:rsidRPr="000F47F9">
        <w:rPr>
          <w:i/>
          <w:iCs/>
          <w:noProof/>
        </w:rPr>
        <w:t>10</w:t>
      </w:r>
      <w:r w:rsidRPr="000F47F9">
        <w:rPr>
          <w:noProof/>
        </w:rPr>
        <w:t>(2), p9873. https://doi.org/10.29322/ijsrp.10.02.2020.p9873</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World Health Organization. (2023a). </w:t>
      </w:r>
      <w:r w:rsidRPr="000F47F9">
        <w:rPr>
          <w:i/>
          <w:iCs/>
          <w:noProof/>
        </w:rPr>
        <w:t>WHO Coronavirus (COVID-19) Country Overview</w:t>
      </w:r>
      <w:r w:rsidRPr="000F47F9">
        <w:rPr>
          <w:noProof/>
        </w:rPr>
        <w:t>. WHO Official Website. https://covid19.who.int/region/searo/country/id</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World Health Organization. (2023b). </w:t>
      </w:r>
      <w:r w:rsidRPr="000F47F9">
        <w:rPr>
          <w:i/>
          <w:iCs/>
          <w:noProof/>
        </w:rPr>
        <w:t>WHO Coronavirus (COVID-19) Dashboard Overview</w:t>
      </w:r>
      <w:r w:rsidRPr="000F47F9">
        <w:rPr>
          <w:noProof/>
        </w:rPr>
        <w:t xml:space="preserve">. WHO Official Website. </w:t>
      </w:r>
      <w:r w:rsidRPr="000F47F9">
        <w:rPr>
          <w:noProof/>
        </w:rPr>
        <w:lastRenderedPageBreak/>
        <w:t>https://covid19.who.int/</w:t>
      </w:r>
    </w:p>
    <w:p w:rsidR="004A0FE2" w:rsidRPr="000F47F9" w:rsidRDefault="004A0FE2" w:rsidP="004A0FE2">
      <w:pPr>
        <w:widowControl w:val="0"/>
        <w:autoSpaceDE w:val="0"/>
        <w:autoSpaceDN w:val="0"/>
        <w:adjustRightInd w:val="0"/>
        <w:spacing w:after="80"/>
        <w:ind w:left="709" w:hanging="709"/>
        <w:jc w:val="both"/>
        <w:rPr>
          <w:noProof/>
        </w:rPr>
      </w:pPr>
      <w:r w:rsidRPr="000F47F9">
        <w:rPr>
          <w:noProof/>
        </w:rPr>
        <w:t xml:space="preserve">Yarli, D. (2018). Analisis Akad Tijarah Pada Transaksi Fintech Syariah Dengan Pendekatan Maqhasid. </w:t>
      </w:r>
      <w:r w:rsidRPr="000F47F9">
        <w:rPr>
          <w:i/>
          <w:iCs/>
          <w:noProof/>
        </w:rPr>
        <w:t>YUDISIA : Jurnal Pemikiran Hukum Dan Hukum Islam</w:t>
      </w:r>
      <w:r w:rsidRPr="000F47F9">
        <w:rPr>
          <w:noProof/>
        </w:rPr>
        <w:t xml:space="preserve">, </w:t>
      </w:r>
      <w:r w:rsidRPr="000F47F9">
        <w:rPr>
          <w:i/>
          <w:iCs/>
          <w:noProof/>
        </w:rPr>
        <w:t>9</w:t>
      </w:r>
      <w:r w:rsidRPr="000F47F9">
        <w:rPr>
          <w:noProof/>
        </w:rPr>
        <w:t>(2). https://doi.org/10.21043/yudisia.v9i2.4766</w:t>
      </w:r>
    </w:p>
    <w:p w:rsidR="004A0FE2" w:rsidRPr="00694646" w:rsidRDefault="004A0FE2" w:rsidP="004A0FE2">
      <w:pPr>
        <w:rPr>
          <w:rFonts w:ascii="Garamond" w:hAnsi="Garamond"/>
          <w:color w:val="000000"/>
        </w:rPr>
      </w:pPr>
      <w:r>
        <w:fldChar w:fldCharType="end"/>
      </w:r>
    </w:p>
    <w:sectPr w:rsidR="004A0FE2" w:rsidRPr="00694646" w:rsidSect="009E1269">
      <w:footerReference w:type="even" r:id="rId12"/>
      <w:footerReference w:type="default" r:id="rId13"/>
      <w:pgSz w:w="10319" w:h="14572" w:code="13"/>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124" w:rsidRDefault="00BF1124">
      <w:r>
        <w:separator/>
      </w:r>
    </w:p>
  </w:endnote>
  <w:endnote w:type="continuationSeparator" w:id="0">
    <w:p w:rsidR="00BF1124" w:rsidRDefault="00BF1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falt">
    <w:altName w:val="MS Mincho"/>
    <w:panose1 w:val="00000000000000000000"/>
    <w:charset w:val="80"/>
    <w:family w:val="modern"/>
    <w:notTrueType/>
    <w:pitch w:val="fixed"/>
    <w:sig w:usb0="00000001" w:usb1="08070000" w:usb2="00000010" w:usb3="00000000" w:csb0="00020000" w:csb1="00000000"/>
  </w:font>
  <w:font w:name="BatangChe">
    <w:panose1 w:val="00000000000000000000"/>
    <w:charset w:val="81"/>
    <w:family w:val="modern"/>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dvOT4ac4c61e+20">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2B" w:rsidRDefault="00B8052B">
    <w:pPr>
      <w:pStyle w:val="Footer"/>
      <w:ind w:right="-864"/>
      <w:jc w:val="right"/>
    </w:pPr>
  </w:p>
  <w:p w:rsidR="004C6B85" w:rsidRDefault="004C6B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928226"/>
      <w:docPartObj>
        <w:docPartGallery w:val="Page Numbers (Bottom of Page)"/>
        <w:docPartUnique/>
      </w:docPartObj>
    </w:sdtPr>
    <w:sdtEndPr>
      <w:rPr>
        <w:noProof/>
      </w:rPr>
    </w:sdtEndPr>
    <w:sdtContent>
      <w:p w:rsidR="002B11B1" w:rsidRDefault="002B11B1">
        <w:pPr>
          <w:pStyle w:val="Footer"/>
          <w:jc w:val="right"/>
        </w:pPr>
        <w:r>
          <w:fldChar w:fldCharType="begin"/>
        </w:r>
        <w:r>
          <w:instrText xml:space="preserve"> PAGE   \* MERGEFORMAT </w:instrText>
        </w:r>
        <w:r>
          <w:fldChar w:fldCharType="separate"/>
        </w:r>
        <w:r w:rsidR="001C5C5F">
          <w:rPr>
            <w:noProof/>
          </w:rPr>
          <w:t>11</w:t>
        </w:r>
        <w:r>
          <w:rPr>
            <w:noProof/>
          </w:rPr>
          <w:fldChar w:fldCharType="end"/>
        </w:r>
      </w:p>
    </w:sdtContent>
  </w:sdt>
  <w:p w:rsidR="00B8052B" w:rsidRDefault="00B805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124" w:rsidRDefault="00BF1124">
      <w:r>
        <w:separator/>
      </w:r>
    </w:p>
  </w:footnote>
  <w:footnote w:type="continuationSeparator" w:id="0">
    <w:p w:rsidR="00BF1124" w:rsidRDefault="00BF11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1pt;height:11.1pt" o:bullet="t">
        <v:imagedata r:id="rId1" o:title=""/>
      </v:shape>
    </w:pict>
  </w:numPicBullet>
  <w:abstractNum w:abstractNumId="0">
    <w:nsid w:val="FFFFFFFE"/>
    <w:multiLevelType w:val="singleLevel"/>
    <w:tmpl w:val="FFFFFFFF"/>
    <w:lvl w:ilvl="0">
      <w:numFmt w:val="decimal"/>
      <w:lvlText w:val="*"/>
      <w:lvlJc w:val="left"/>
      <w:rPr>
        <w:rFonts w:cs="Times New Roman"/>
      </w:rPr>
    </w:lvl>
  </w:abstractNum>
  <w:abstractNum w:abstractNumId="1">
    <w:nsid w:val="0A1E51FC"/>
    <w:multiLevelType w:val="hybridMultilevel"/>
    <w:tmpl w:val="F7DA2CA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F531E19"/>
    <w:multiLevelType w:val="hybridMultilevel"/>
    <w:tmpl w:val="C5165174"/>
    <w:lvl w:ilvl="0" w:tplc="DAB632A0">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861FEF"/>
    <w:multiLevelType w:val="hybridMultilevel"/>
    <w:tmpl w:val="C472CB0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CA06077"/>
    <w:multiLevelType w:val="hybridMultilevel"/>
    <w:tmpl w:val="1F428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EEE4156"/>
    <w:multiLevelType w:val="hybridMultilevel"/>
    <w:tmpl w:val="3CCA8170"/>
    <w:lvl w:ilvl="0" w:tplc="04090015">
      <w:start w:val="3"/>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0911795"/>
    <w:multiLevelType w:val="multilevel"/>
    <w:tmpl w:val="AC62AAC4"/>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7">
    <w:nsid w:val="28F33AE9"/>
    <w:multiLevelType w:val="hybridMultilevel"/>
    <w:tmpl w:val="91363F9A"/>
    <w:lvl w:ilvl="0" w:tplc="7F52E6E2">
      <w:start w:val="1"/>
      <w:numFmt w:val="lowerLetter"/>
      <w:lvlText w:val="%1."/>
      <w:lvlJc w:val="left"/>
      <w:pPr>
        <w:tabs>
          <w:tab w:val="num" w:pos="2160"/>
        </w:tabs>
        <w:ind w:left="21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A99777E"/>
    <w:multiLevelType w:val="hybridMultilevel"/>
    <w:tmpl w:val="ECF4F30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C4E600D"/>
    <w:multiLevelType w:val="hybridMultilevel"/>
    <w:tmpl w:val="2DF0A96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69A7C56"/>
    <w:multiLevelType w:val="hybridMultilevel"/>
    <w:tmpl w:val="59E8AE2C"/>
    <w:lvl w:ilvl="0" w:tplc="82FA2102">
      <w:start w:val="1"/>
      <w:numFmt w:val="decimal"/>
      <w:pStyle w:val="Reference"/>
      <w:lvlText w:val="[%1] "/>
      <w:lvlJc w:val="left"/>
      <w:pPr>
        <w:ind w:left="720" w:hanging="360"/>
      </w:pPr>
      <w:rPr>
        <w:rFonts w:ascii="Times New Roman" w:hAnsi="Times New Roman" w:cs="Times New Roman" w:hint="default"/>
        <w:b w:val="0"/>
        <w:bCs w:val="0"/>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B0863F2"/>
    <w:multiLevelType w:val="hybridMultilevel"/>
    <w:tmpl w:val="B9940D4E"/>
    <w:lvl w:ilvl="0" w:tplc="C7FCBEB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43345DA9"/>
    <w:multiLevelType w:val="hybridMultilevel"/>
    <w:tmpl w:val="6A0A61EC"/>
    <w:lvl w:ilvl="0" w:tplc="04090001">
      <w:start w:val="1"/>
      <w:numFmt w:val="bullet"/>
      <w:lvlText w:val=""/>
      <w:lvlJc w:val="left"/>
      <w:pPr>
        <w:ind w:left="700" w:hanging="360"/>
      </w:pPr>
      <w:rPr>
        <w:rFonts w:ascii="Symbol" w:hAnsi="Symbol" w:hint="default"/>
      </w:rPr>
    </w:lvl>
    <w:lvl w:ilvl="1" w:tplc="04090003">
      <w:start w:val="1"/>
      <w:numFmt w:val="bullet"/>
      <w:lvlText w:val="o"/>
      <w:lvlJc w:val="left"/>
      <w:pPr>
        <w:ind w:left="1420" w:hanging="360"/>
      </w:pPr>
      <w:rPr>
        <w:rFonts w:ascii="Courier New" w:hAnsi="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3">
    <w:nsid w:val="48117FDD"/>
    <w:multiLevelType w:val="hybridMultilevel"/>
    <w:tmpl w:val="51D60EF4"/>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B27D59"/>
    <w:multiLevelType w:val="hybridMultilevel"/>
    <w:tmpl w:val="5E988894"/>
    <w:lvl w:ilvl="0" w:tplc="4D703B6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3484048"/>
    <w:multiLevelType w:val="hybridMultilevel"/>
    <w:tmpl w:val="845638C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537A47B0"/>
    <w:multiLevelType w:val="hybridMultilevel"/>
    <w:tmpl w:val="E1B47B3E"/>
    <w:lvl w:ilvl="0" w:tplc="04090001">
      <w:start w:val="1"/>
      <w:numFmt w:val="bullet"/>
      <w:lvlText w:val=""/>
      <w:lvlJc w:val="left"/>
      <w:pPr>
        <w:ind w:left="70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5">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7">
    <w:nsid w:val="54835FC1"/>
    <w:multiLevelType w:val="hybridMultilevel"/>
    <w:tmpl w:val="B830887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CBD764E"/>
    <w:multiLevelType w:val="hybridMultilevel"/>
    <w:tmpl w:val="88C0C3C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3B43F01"/>
    <w:multiLevelType w:val="hybridMultilevel"/>
    <w:tmpl w:val="30A0AF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1534C46"/>
    <w:multiLevelType w:val="hybridMultilevel"/>
    <w:tmpl w:val="920C638A"/>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7446646B"/>
    <w:multiLevelType w:val="hybridMultilevel"/>
    <w:tmpl w:val="34423776"/>
    <w:lvl w:ilvl="0" w:tplc="04090017">
      <w:start w:val="1"/>
      <w:numFmt w:val="lowerLetter"/>
      <w:lvlText w:val="%1)"/>
      <w:lvlJc w:val="left"/>
      <w:pPr>
        <w:ind w:left="1060" w:hanging="360"/>
      </w:pPr>
      <w:rPr>
        <w:rFonts w:cs="Times New Roman"/>
      </w:rPr>
    </w:lvl>
    <w:lvl w:ilvl="1" w:tplc="04090019" w:tentative="1">
      <w:start w:val="1"/>
      <w:numFmt w:val="lowerLetter"/>
      <w:lvlText w:val="%2."/>
      <w:lvlJc w:val="left"/>
      <w:pPr>
        <w:ind w:left="1780" w:hanging="360"/>
      </w:pPr>
      <w:rPr>
        <w:rFonts w:cs="Times New Roman"/>
      </w:rPr>
    </w:lvl>
    <w:lvl w:ilvl="2" w:tplc="0409001B" w:tentative="1">
      <w:start w:val="1"/>
      <w:numFmt w:val="lowerRoman"/>
      <w:lvlText w:val="%3."/>
      <w:lvlJc w:val="right"/>
      <w:pPr>
        <w:ind w:left="2500" w:hanging="180"/>
      </w:pPr>
      <w:rPr>
        <w:rFonts w:cs="Times New Roman"/>
      </w:rPr>
    </w:lvl>
    <w:lvl w:ilvl="3" w:tplc="0409000F" w:tentative="1">
      <w:start w:val="1"/>
      <w:numFmt w:val="decimal"/>
      <w:lvlText w:val="%4."/>
      <w:lvlJc w:val="left"/>
      <w:pPr>
        <w:ind w:left="3220" w:hanging="360"/>
      </w:pPr>
      <w:rPr>
        <w:rFonts w:cs="Times New Roman"/>
      </w:rPr>
    </w:lvl>
    <w:lvl w:ilvl="4" w:tplc="04090019" w:tentative="1">
      <w:start w:val="1"/>
      <w:numFmt w:val="lowerLetter"/>
      <w:lvlText w:val="%5."/>
      <w:lvlJc w:val="left"/>
      <w:pPr>
        <w:ind w:left="3940" w:hanging="360"/>
      </w:pPr>
      <w:rPr>
        <w:rFonts w:cs="Times New Roman"/>
      </w:rPr>
    </w:lvl>
    <w:lvl w:ilvl="5" w:tplc="0409001B" w:tentative="1">
      <w:start w:val="1"/>
      <w:numFmt w:val="lowerRoman"/>
      <w:lvlText w:val="%6."/>
      <w:lvlJc w:val="right"/>
      <w:pPr>
        <w:ind w:left="4660" w:hanging="180"/>
      </w:pPr>
      <w:rPr>
        <w:rFonts w:cs="Times New Roman"/>
      </w:rPr>
    </w:lvl>
    <w:lvl w:ilvl="6" w:tplc="0409000F" w:tentative="1">
      <w:start w:val="1"/>
      <w:numFmt w:val="decimal"/>
      <w:lvlText w:val="%7."/>
      <w:lvlJc w:val="left"/>
      <w:pPr>
        <w:ind w:left="5380" w:hanging="360"/>
      </w:pPr>
      <w:rPr>
        <w:rFonts w:cs="Times New Roman"/>
      </w:rPr>
    </w:lvl>
    <w:lvl w:ilvl="7" w:tplc="04090019" w:tentative="1">
      <w:start w:val="1"/>
      <w:numFmt w:val="lowerLetter"/>
      <w:lvlText w:val="%8."/>
      <w:lvlJc w:val="left"/>
      <w:pPr>
        <w:ind w:left="6100" w:hanging="360"/>
      </w:pPr>
      <w:rPr>
        <w:rFonts w:cs="Times New Roman"/>
      </w:rPr>
    </w:lvl>
    <w:lvl w:ilvl="8" w:tplc="0409001B" w:tentative="1">
      <w:start w:val="1"/>
      <w:numFmt w:val="lowerRoman"/>
      <w:lvlText w:val="%9."/>
      <w:lvlJc w:val="right"/>
      <w:pPr>
        <w:ind w:left="6820" w:hanging="180"/>
      </w:pPr>
      <w:rPr>
        <w:rFonts w:cs="Times New Roman"/>
      </w:rPr>
    </w:lvl>
  </w:abstractNum>
  <w:num w:numId="1">
    <w:abstractNumId w:val="20"/>
  </w:num>
  <w:num w:numId="2">
    <w:abstractNumId w:val="7"/>
  </w:num>
  <w:num w:numId="3">
    <w:abstractNumId w:val="2"/>
  </w:num>
  <w:num w:numId="4">
    <w:abstractNumId w:val="8"/>
  </w:num>
  <w:num w:numId="5">
    <w:abstractNumId w:val="3"/>
  </w:num>
  <w:num w:numId="6">
    <w:abstractNumId w:val="11"/>
  </w:num>
  <w:num w:numId="7">
    <w:abstractNumId w:val="9"/>
  </w:num>
  <w:num w:numId="8">
    <w:abstractNumId w:val="17"/>
  </w:num>
  <w:num w:numId="9">
    <w:abstractNumId w:val="5"/>
  </w:num>
  <w:num w:numId="10">
    <w:abstractNumId w:val="1"/>
  </w:num>
  <w:num w:numId="11">
    <w:abstractNumId w:val="14"/>
  </w:num>
  <w:num w:numId="12">
    <w:abstractNumId w:val="18"/>
  </w:num>
  <w:num w:numId="13">
    <w:abstractNumId w:val="19"/>
  </w:num>
  <w:num w:numId="14">
    <w:abstractNumId w:val="6"/>
  </w:num>
  <w:num w:numId="15">
    <w:abstractNumId w:val="4"/>
  </w:num>
  <w:num w:numId="16">
    <w:abstractNumId w:val="15"/>
  </w:num>
  <w:num w:numId="17">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18">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19">
    <w:abstractNumId w:val="21"/>
  </w:num>
  <w:num w:numId="20">
    <w:abstractNumId w:val="12"/>
  </w:num>
  <w:num w:numId="21">
    <w:abstractNumId w:val="16"/>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D89"/>
    <w:rsid w:val="00000E7B"/>
    <w:rsid w:val="0001062E"/>
    <w:rsid w:val="00017354"/>
    <w:rsid w:val="000237B4"/>
    <w:rsid w:val="00030A2B"/>
    <w:rsid w:val="00040C72"/>
    <w:rsid w:val="00042219"/>
    <w:rsid w:val="00044087"/>
    <w:rsid w:val="00046873"/>
    <w:rsid w:val="000474BD"/>
    <w:rsid w:val="00055D64"/>
    <w:rsid w:val="00055ECF"/>
    <w:rsid w:val="0006691F"/>
    <w:rsid w:val="00067018"/>
    <w:rsid w:val="00075682"/>
    <w:rsid w:val="00080DEC"/>
    <w:rsid w:val="00096170"/>
    <w:rsid w:val="00096EA0"/>
    <w:rsid w:val="000A6594"/>
    <w:rsid w:val="000B0881"/>
    <w:rsid w:val="000B2CA6"/>
    <w:rsid w:val="000B753F"/>
    <w:rsid w:val="000C047B"/>
    <w:rsid w:val="000C1482"/>
    <w:rsid w:val="000C4518"/>
    <w:rsid w:val="000D7A5A"/>
    <w:rsid w:val="000F47F9"/>
    <w:rsid w:val="00100D47"/>
    <w:rsid w:val="00101F46"/>
    <w:rsid w:val="00102310"/>
    <w:rsid w:val="00102361"/>
    <w:rsid w:val="0011704D"/>
    <w:rsid w:val="00120F27"/>
    <w:rsid w:val="0014340D"/>
    <w:rsid w:val="001447EF"/>
    <w:rsid w:val="0014606C"/>
    <w:rsid w:val="00150615"/>
    <w:rsid w:val="00157C88"/>
    <w:rsid w:val="001608E0"/>
    <w:rsid w:val="0016119E"/>
    <w:rsid w:val="00161E04"/>
    <w:rsid w:val="00163036"/>
    <w:rsid w:val="00180235"/>
    <w:rsid w:val="00192C6E"/>
    <w:rsid w:val="001A5735"/>
    <w:rsid w:val="001B45DC"/>
    <w:rsid w:val="001B74BB"/>
    <w:rsid w:val="001C5C5F"/>
    <w:rsid w:val="001D1F22"/>
    <w:rsid w:val="001D4F3F"/>
    <w:rsid w:val="001D5AD8"/>
    <w:rsid w:val="001D7DF8"/>
    <w:rsid w:val="001E2EA5"/>
    <w:rsid w:val="001F3960"/>
    <w:rsid w:val="001F6C55"/>
    <w:rsid w:val="00205181"/>
    <w:rsid w:val="002108AA"/>
    <w:rsid w:val="00210C90"/>
    <w:rsid w:val="0021745F"/>
    <w:rsid w:val="00220F44"/>
    <w:rsid w:val="0023125A"/>
    <w:rsid w:val="00231A87"/>
    <w:rsid w:val="00231CAF"/>
    <w:rsid w:val="00257675"/>
    <w:rsid w:val="0027036A"/>
    <w:rsid w:val="00270EFA"/>
    <w:rsid w:val="002716C5"/>
    <w:rsid w:val="00273ECF"/>
    <w:rsid w:val="0027766D"/>
    <w:rsid w:val="00277A1D"/>
    <w:rsid w:val="00282B4D"/>
    <w:rsid w:val="00295278"/>
    <w:rsid w:val="002979BD"/>
    <w:rsid w:val="002A0125"/>
    <w:rsid w:val="002A3CE7"/>
    <w:rsid w:val="002B0B77"/>
    <w:rsid w:val="002B11B1"/>
    <w:rsid w:val="002C45E7"/>
    <w:rsid w:val="002D7830"/>
    <w:rsid w:val="002E4FD2"/>
    <w:rsid w:val="002F089E"/>
    <w:rsid w:val="002F6314"/>
    <w:rsid w:val="002F7585"/>
    <w:rsid w:val="003050C7"/>
    <w:rsid w:val="003073F6"/>
    <w:rsid w:val="00313096"/>
    <w:rsid w:val="00314891"/>
    <w:rsid w:val="00320E2A"/>
    <w:rsid w:val="003225C3"/>
    <w:rsid w:val="00327181"/>
    <w:rsid w:val="00332C13"/>
    <w:rsid w:val="00332DAD"/>
    <w:rsid w:val="00341AA5"/>
    <w:rsid w:val="00342F5C"/>
    <w:rsid w:val="00343C02"/>
    <w:rsid w:val="00372250"/>
    <w:rsid w:val="003724B1"/>
    <w:rsid w:val="003732A6"/>
    <w:rsid w:val="0038742F"/>
    <w:rsid w:val="00393A92"/>
    <w:rsid w:val="00395A73"/>
    <w:rsid w:val="0039651B"/>
    <w:rsid w:val="00396DA9"/>
    <w:rsid w:val="003A5332"/>
    <w:rsid w:val="003A5CFF"/>
    <w:rsid w:val="003A66C2"/>
    <w:rsid w:val="003A70A8"/>
    <w:rsid w:val="003B1FAB"/>
    <w:rsid w:val="003C29CC"/>
    <w:rsid w:val="003C683E"/>
    <w:rsid w:val="003D123A"/>
    <w:rsid w:val="003E6D29"/>
    <w:rsid w:val="003E73F9"/>
    <w:rsid w:val="003E78B7"/>
    <w:rsid w:val="003F14D9"/>
    <w:rsid w:val="003F4F39"/>
    <w:rsid w:val="003F5A6C"/>
    <w:rsid w:val="00401834"/>
    <w:rsid w:val="00403551"/>
    <w:rsid w:val="004158F6"/>
    <w:rsid w:val="004252DE"/>
    <w:rsid w:val="004369FE"/>
    <w:rsid w:val="00437A8C"/>
    <w:rsid w:val="00441792"/>
    <w:rsid w:val="00442FA5"/>
    <w:rsid w:val="004434A7"/>
    <w:rsid w:val="00443512"/>
    <w:rsid w:val="00450450"/>
    <w:rsid w:val="00452441"/>
    <w:rsid w:val="00453947"/>
    <w:rsid w:val="00460B63"/>
    <w:rsid w:val="00461B6B"/>
    <w:rsid w:val="00463DBD"/>
    <w:rsid w:val="00465194"/>
    <w:rsid w:val="00465F45"/>
    <w:rsid w:val="00467520"/>
    <w:rsid w:val="00471B25"/>
    <w:rsid w:val="00477254"/>
    <w:rsid w:val="004803BA"/>
    <w:rsid w:val="00481E87"/>
    <w:rsid w:val="004943A8"/>
    <w:rsid w:val="004A0FE2"/>
    <w:rsid w:val="004A59A2"/>
    <w:rsid w:val="004A7AAE"/>
    <w:rsid w:val="004B7482"/>
    <w:rsid w:val="004C49F5"/>
    <w:rsid w:val="004C5ECD"/>
    <w:rsid w:val="004C6B85"/>
    <w:rsid w:val="004D319C"/>
    <w:rsid w:val="004E1B76"/>
    <w:rsid w:val="004E29FD"/>
    <w:rsid w:val="004E3AA0"/>
    <w:rsid w:val="004F48A8"/>
    <w:rsid w:val="0051254C"/>
    <w:rsid w:val="0051451B"/>
    <w:rsid w:val="00525671"/>
    <w:rsid w:val="00542581"/>
    <w:rsid w:val="00544FCE"/>
    <w:rsid w:val="00546E6E"/>
    <w:rsid w:val="00550887"/>
    <w:rsid w:val="00551B67"/>
    <w:rsid w:val="00553A96"/>
    <w:rsid w:val="00553EC4"/>
    <w:rsid w:val="0056086A"/>
    <w:rsid w:val="00561D7E"/>
    <w:rsid w:val="00574C49"/>
    <w:rsid w:val="00580910"/>
    <w:rsid w:val="00584B1A"/>
    <w:rsid w:val="0059618C"/>
    <w:rsid w:val="005D3454"/>
    <w:rsid w:val="005D5EE2"/>
    <w:rsid w:val="005E5018"/>
    <w:rsid w:val="005F4938"/>
    <w:rsid w:val="005F4A2F"/>
    <w:rsid w:val="0060099A"/>
    <w:rsid w:val="006046C7"/>
    <w:rsid w:val="006150B0"/>
    <w:rsid w:val="00621EBC"/>
    <w:rsid w:val="00623361"/>
    <w:rsid w:val="006370EC"/>
    <w:rsid w:val="006452A8"/>
    <w:rsid w:val="0064587F"/>
    <w:rsid w:val="00652E68"/>
    <w:rsid w:val="00660141"/>
    <w:rsid w:val="00670F21"/>
    <w:rsid w:val="00671869"/>
    <w:rsid w:val="00673CE7"/>
    <w:rsid w:val="006848DC"/>
    <w:rsid w:val="00686F77"/>
    <w:rsid w:val="00692084"/>
    <w:rsid w:val="00692C8F"/>
    <w:rsid w:val="00694646"/>
    <w:rsid w:val="006970AF"/>
    <w:rsid w:val="006A1372"/>
    <w:rsid w:val="006A14C6"/>
    <w:rsid w:val="006A7D1A"/>
    <w:rsid w:val="006B6DCC"/>
    <w:rsid w:val="006C340A"/>
    <w:rsid w:val="006E7F2D"/>
    <w:rsid w:val="006F1A02"/>
    <w:rsid w:val="006F39DC"/>
    <w:rsid w:val="00702A13"/>
    <w:rsid w:val="00727E28"/>
    <w:rsid w:val="00757276"/>
    <w:rsid w:val="0076071B"/>
    <w:rsid w:val="007719F0"/>
    <w:rsid w:val="00784311"/>
    <w:rsid w:val="0079491C"/>
    <w:rsid w:val="00794CA4"/>
    <w:rsid w:val="007A3610"/>
    <w:rsid w:val="007B1546"/>
    <w:rsid w:val="007B3BEF"/>
    <w:rsid w:val="007C4841"/>
    <w:rsid w:val="008065BB"/>
    <w:rsid w:val="0081298E"/>
    <w:rsid w:val="00821D71"/>
    <w:rsid w:val="00823455"/>
    <w:rsid w:val="00826A5D"/>
    <w:rsid w:val="00841290"/>
    <w:rsid w:val="008424C5"/>
    <w:rsid w:val="00844648"/>
    <w:rsid w:val="00844EF9"/>
    <w:rsid w:val="00846CE4"/>
    <w:rsid w:val="00851012"/>
    <w:rsid w:val="00860940"/>
    <w:rsid w:val="008666FA"/>
    <w:rsid w:val="00866723"/>
    <w:rsid w:val="0087063B"/>
    <w:rsid w:val="00875B87"/>
    <w:rsid w:val="008823F1"/>
    <w:rsid w:val="0088455C"/>
    <w:rsid w:val="008A0ED8"/>
    <w:rsid w:val="008A309B"/>
    <w:rsid w:val="008A72D4"/>
    <w:rsid w:val="008C59DD"/>
    <w:rsid w:val="008D0E54"/>
    <w:rsid w:val="008D6267"/>
    <w:rsid w:val="008E02DC"/>
    <w:rsid w:val="008E7209"/>
    <w:rsid w:val="008E788C"/>
    <w:rsid w:val="008E7BD2"/>
    <w:rsid w:val="008F52FB"/>
    <w:rsid w:val="00901DC6"/>
    <w:rsid w:val="00904DCE"/>
    <w:rsid w:val="009105BB"/>
    <w:rsid w:val="00913349"/>
    <w:rsid w:val="0091632E"/>
    <w:rsid w:val="00930698"/>
    <w:rsid w:val="00932447"/>
    <w:rsid w:val="00932840"/>
    <w:rsid w:val="009355F4"/>
    <w:rsid w:val="0093589A"/>
    <w:rsid w:val="009376D5"/>
    <w:rsid w:val="00937769"/>
    <w:rsid w:val="0094318F"/>
    <w:rsid w:val="009438C4"/>
    <w:rsid w:val="009541C7"/>
    <w:rsid w:val="00956D5F"/>
    <w:rsid w:val="0096062B"/>
    <w:rsid w:val="0096132D"/>
    <w:rsid w:val="00965547"/>
    <w:rsid w:val="00965E9F"/>
    <w:rsid w:val="00986994"/>
    <w:rsid w:val="0099697F"/>
    <w:rsid w:val="009A0105"/>
    <w:rsid w:val="009A2228"/>
    <w:rsid w:val="009A36F6"/>
    <w:rsid w:val="009B08DC"/>
    <w:rsid w:val="009B0EE3"/>
    <w:rsid w:val="009C0E98"/>
    <w:rsid w:val="009D2226"/>
    <w:rsid w:val="009D6802"/>
    <w:rsid w:val="009D7E24"/>
    <w:rsid w:val="009E0B33"/>
    <w:rsid w:val="009E1269"/>
    <w:rsid w:val="009E1FD7"/>
    <w:rsid w:val="009F2CD5"/>
    <w:rsid w:val="009F34B4"/>
    <w:rsid w:val="009F53DF"/>
    <w:rsid w:val="009F78D3"/>
    <w:rsid w:val="00A01C21"/>
    <w:rsid w:val="00A10855"/>
    <w:rsid w:val="00A214F0"/>
    <w:rsid w:val="00A21936"/>
    <w:rsid w:val="00A252CB"/>
    <w:rsid w:val="00A3485B"/>
    <w:rsid w:val="00A35EA9"/>
    <w:rsid w:val="00A41E84"/>
    <w:rsid w:val="00A4466A"/>
    <w:rsid w:val="00A5080C"/>
    <w:rsid w:val="00A527AF"/>
    <w:rsid w:val="00A56E29"/>
    <w:rsid w:val="00A725F6"/>
    <w:rsid w:val="00A72D9B"/>
    <w:rsid w:val="00A766CC"/>
    <w:rsid w:val="00A80C5D"/>
    <w:rsid w:val="00A95C81"/>
    <w:rsid w:val="00A95DE8"/>
    <w:rsid w:val="00AA07FE"/>
    <w:rsid w:val="00AA3000"/>
    <w:rsid w:val="00AD000E"/>
    <w:rsid w:val="00AD7028"/>
    <w:rsid w:val="00AE2F33"/>
    <w:rsid w:val="00AF0C01"/>
    <w:rsid w:val="00AF2241"/>
    <w:rsid w:val="00AF5779"/>
    <w:rsid w:val="00B01701"/>
    <w:rsid w:val="00B03158"/>
    <w:rsid w:val="00B05FB7"/>
    <w:rsid w:val="00B234B7"/>
    <w:rsid w:val="00B33759"/>
    <w:rsid w:val="00B43068"/>
    <w:rsid w:val="00B44A85"/>
    <w:rsid w:val="00B559FB"/>
    <w:rsid w:val="00B57D6F"/>
    <w:rsid w:val="00B62649"/>
    <w:rsid w:val="00B74757"/>
    <w:rsid w:val="00B8052B"/>
    <w:rsid w:val="00B83C21"/>
    <w:rsid w:val="00B9419A"/>
    <w:rsid w:val="00BA2966"/>
    <w:rsid w:val="00BA42BA"/>
    <w:rsid w:val="00BC178B"/>
    <w:rsid w:val="00BC5F00"/>
    <w:rsid w:val="00BD25D7"/>
    <w:rsid w:val="00BD3029"/>
    <w:rsid w:val="00BE026B"/>
    <w:rsid w:val="00BE3458"/>
    <w:rsid w:val="00BE459A"/>
    <w:rsid w:val="00BE7514"/>
    <w:rsid w:val="00BF1124"/>
    <w:rsid w:val="00BF15D1"/>
    <w:rsid w:val="00BF2173"/>
    <w:rsid w:val="00BF4BB2"/>
    <w:rsid w:val="00BF5926"/>
    <w:rsid w:val="00BF6250"/>
    <w:rsid w:val="00C00BD2"/>
    <w:rsid w:val="00C010A4"/>
    <w:rsid w:val="00C01C13"/>
    <w:rsid w:val="00C03A31"/>
    <w:rsid w:val="00C07EE3"/>
    <w:rsid w:val="00C30018"/>
    <w:rsid w:val="00C360FB"/>
    <w:rsid w:val="00C3626A"/>
    <w:rsid w:val="00C4431C"/>
    <w:rsid w:val="00C47DBD"/>
    <w:rsid w:val="00C51E33"/>
    <w:rsid w:val="00C5548C"/>
    <w:rsid w:val="00C60217"/>
    <w:rsid w:val="00C65D30"/>
    <w:rsid w:val="00C7361B"/>
    <w:rsid w:val="00C77BA0"/>
    <w:rsid w:val="00C86362"/>
    <w:rsid w:val="00C901CE"/>
    <w:rsid w:val="00C93F80"/>
    <w:rsid w:val="00C96D3B"/>
    <w:rsid w:val="00CB32E7"/>
    <w:rsid w:val="00CC3516"/>
    <w:rsid w:val="00CD0C5C"/>
    <w:rsid w:val="00CD34A9"/>
    <w:rsid w:val="00CD7A6D"/>
    <w:rsid w:val="00CF40B2"/>
    <w:rsid w:val="00CF4D95"/>
    <w:rsid w:val="00D00912"/>
    <w:rsid w:val="00D32285"/>
    <w:rsid w:val="00D37220"/>
    <w:rsid w:val="00D44DCF"/>
    <w:rsid w:val="00D51AE6"/>
    <w:rsid w:val="00D6037F"/>
    <w:rsid w:val="00D60682"/>
    <w:rsid w:val="00D65CA8"/>
    <w:rsid w:val="00D86465"/>
    <w:rsid w:val="00D9046E"/>
    <w:rsid w:val="00D938CF"/>
    <w:rsid w:val="00DA0660"/>
    <w:rsid w:val="00DA3A3C"/>
    <w:rsid w:val="00DA3AF5"/>
    <w:rsid w:val="00DB2C84"/>
    <w:rsid w:val="00DB7716"/>
    <w:rsid w:val="00DB7F5B"/>
    <w:rsid w:val="00DC0867"/>
    <w:rsid w:val="00DC7441"/>
    <w:rsid w:val="00DE15C6"/>
    <w:rsid w:val="00DE1EBE"/>
    <w:rsid w:val="00DF1E86"/>
    <w:rsid w:val="00E10A97"/>
    <w:rsid w:val="00E20BEE"/>
    <w:rsid w:val="00E26F68"/>
    <w:rsid w:val="00E678F1"/>
    <w:rsid w:val="00E67DDA"/>
    <w:rsid w:val="00E74530"/>
    <w:rsid w:val="00E9529C"/>
    <w:rsid w:val="00E95C50"/>
    <w:rsid w:val="00E95C9C"/>
    <w:rsid w:val="00EA4E0D"/>
    <w:rsid w:val="00EB6453"/>
    <w:rsid w:val="00EC6D35"/>
    <w:rsid w:val="00EC709B"/>
    <w:rsid w:val="00EE3815"/>
    <w:rsid w:val="00EF4FD8"/>
    <w:rsid w:val="00EF67BA"/>
    <w:rsid w:val="00EF7A44"/>
    <w:rsid w:val="00F00273"/>
    <w:rsid w:val="00F04BCE"/>
    <w:rsid w:val="00F15012"/>
    <w:rsid w:val="00F20883"/>
    <w:rsid w:val="00F23E2B"/>
    <w:rsid w:val="00F342D1"/>
    <w:rsid w:val="00F40C02"/>
    <w:rsid w:val="00F40EAC"/>
    <w:rsid w:val="00F4258D"/>
    <w:rsid w:val="00F44C48"/>
    <w:rsid w:val="00F60CF0"/>
    <w:rsid w:val="00F83AD0"/>
    <w:rsid w:val="00F857C4"/>
    <w:rsid w:val="00F939E1"/>
    <w:rsid w:val="00F961F8"/>
    <w:rsid w:val="00FA51D1"/>
    <w:rsid w:val="00FB1003"/>
    <w:rsid w:val="00FE2D89"/>
    <w:rsid w:val="00FE322F"/>
    <w:rsid w:val="00FE49ED"/>
    <w:rsid w:val="00FE700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Normal (Web)" w:uiPriority="99"/>
    <w:lsdException w:name="HTML Preformatted"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465"/>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b/>
      <w:bCs/>
    </w:rPr>
  </w:style>
  <w:style w:type="paragraph" w:styleId="Heading2">
    <w:name w:val="heading 2"/>
    <w:basedOn w:val="Normal"/>
    <w:next w:val="Normal"/>
    <w:link w:val="Heading2Char"/>
    <w:uiPriority w:val="9"/>
    <w:qFormat/>
    <w:rsid w:val="00D86465"/>
    <w:pPr>
      <w:keepNext/>
      <w:outlineLvl w:val="1"/>
    </w:pPr>
    <w:rPr>
      <w:b/>
      <w:bCs/>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ourier New" w:hAnsi="Courier New" w:cs="Courier Ne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
    <w:name w:val="Body Text"/>
    <w:basedOn w:val="Normal"/>
    <w:link w:val="BodyTextChar"/>
    <w:uiPriority w:val="99"/>
    <w:rsid w:val="00D86465"/>
    <w:pPr>
      <w:spacing w:line="360" w:lineRule="auto"/>
      <w:jc w:val="both"/>
    </w:p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Title">
    <w:name w:val="Title"/>
    <w:basedOn w:val="Normal"/>
    <w:link w:val="TitleChar"/>
    <w:uiPriority w:val="10"/>
    <w:qFormat/>
    <w:rsid w:val="00D86465"/>
    <w:pPr>
      <w:jc w:val="center"/>
    </w:pPr>
    <w:rPr>
      <w:b/>
      <w:bCs/>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b/>
      <w:bCs/>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styleId="Footer">
    <w:name w:val="footer"/>
    <w:basedOn w:val="Normal"/>
    <w:link w:val="FooterChar"/>
    <w:uiPriority w:val="99"/>
    <w:rsid w:val="00D86465"/>
    <w:pPr>
      <w:tabs>
        <w:tab w:val="center" w:pos="4153"/>
        <w:tab w:val="right" w:pos="8306"/>
      </w:tabs>
    </w:pPr>
  </w:style>
  <w:style w:type="character" w:customStyle="1" w:styleId="FooterChar">
    <w:name w:val="Footer Char"/>
    <w:basedOn w:val="DefaultParagraphFont"/>
    <w:link w:val="Footer"/>
    <w:uiPriority w:val="99"/>
    <w:locked/>
    <w:rsid w:val="004C6B85"/>
    <w:rPr>
      <w:rFonts w:cs="Times New Roman"/>
      <w:sz w:val="24"/>
      <w:szCs w:val="24"/>
    </w:rPr>
  </w:style>
  <w:style w:type="character" w:styleId="PageNumber">
    <w:name w:val="page number"/>
    <w:basedOn w:val="DefaultParagraphFont"/>
    <w:uiPriority w:val="99"/>
    <w:rsid w:val="00D86465"/>
    <w:rPr>
      <w:rFonts w:cs="Times New Roman"/>
    </w:rPr>
  </w:style>
  <w:style w:type="paragraph" w:styleId="FootnoteText">
    <w:name w:val="footnote text"/>
    <w:basedOn w:val="Normal"/>
    <w:link w:val="FootnoteTextChar"/>
    <w:uiPriority w:val="99"/>
    <w:rsid w:val="00D86465"/>
    <w:rPr>
      <w:sz w:val="20"/>
      <w:szCs w:val="20"/>
    </w:rPr>
  </w:style>
  <w:style w:type="character" w:customStyle="1" w:styleId="FootnoteTextChar">
    <w:name w:val="Footnote Text Char"/>
    <w:basedOn w:val="DefaultParagraphFont"/>
    <w:link w:val="FootnoteText"/>
    <w:uiPriority w:val="99"/>
    <w:locked/>
    <w:rsid w:val="003C29CC"/>
    <w:rPr>
      <w:rFonts w:cs="Times New Roman"/>
    </w:rPr>
  </w:style>
  <w:style w:type="character" w:styleId="FootnoteReference">
    <w:name w:val="footnote reference"/>
    <w:basedOn w:val="DefaultParagraphFont"/>
    <w:uiPriority w:val="99"/>
    <w:semiHidden/>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rFonts w:ascii="Courier New" w:hAnsi="Courier New" w:cs="Courier New"/>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character" w:styleId="Emphasis">
    <w:name w:val="Emphasis"/>
    <w:basedOn w:val="DefaultParagraphFont"/>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FE2D89"/>
    <w:rPr>
      <w:rFonts w:ascii="Courier New" w:hAnsi="Courier New" w:cs="Courier New"/>
    </w:rPr>
  </w:style>
  <w:style w:type="character" w:customStyle="1" w:styleId="gi">
    <w:name w:val="gi"/>
    <w:basedOn w:val="DefaultParagraphFont"/>
    <w:rsid w:val="00BD25D7"/>
    <w:rPr>
      <w:rFonts w:cs="Times New Roman"/>
    </w:rPr>
  </w:style>
  <w:style w:type="character" w:styleId="CommentReference">
    <w:name w:val="annotation reference"/>
    <w:basedOn w:val="DefaultParagraphFont"/>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rPr>
  </w:style>
  <w:style w:type="character" w:customStyle="1" w:styleId="CommentTextChar">
    <w:name w:val="Comment Text Char"/>
    <w:basedOn w:val="DefaultParagraphFont"/>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basedOn w:val="CommentText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cs="Tahoma"/>
      <w:sz w:val="16"/>
      <w:szCs w:val="16"/>
    </w:rPr>
  </w:style>
  <w:style w:type="character" w:customStyle="1" w:styleId="BalloonTextChar">
    <w:name w:val="Balloon Text Char"/>
    <w:basedOn w:val="DefaultParagraphFont"/>
    <w:link w:val="BalloonText"/>
    <w:uiPriority w:val="99"/>
    <w:locked/>
    <w:rsid w:val="003F14D9"/>
    <w:rPr>
      <w:rFonts w:ascii="Tahoma" w:hAnsi="Tahoma" w:cs="Tahoma"/>
      <w:sz w:val="16"/>
      <w:szCs w:val="16"/>
    </w:rPr>
  </w:style>
  <w:style w:type="paragraph" w:styleId="ListParagraph">
    <w:name w:val="List Paragraph"/>
    <w:basedOn w:val="Normal"/>
    <w:uiPriority w:val="34"/>
    <w:qFormat/>
    <w:rsid w:val="00EE3815"/>
    <w:pPr>
      <w:ind w:left="720"/>
      <w:contextualSpacing/>
    </w:pPr>
  </w:style>
  <w:style w:type="table" w:styleId="TableGrid">
    <w:name w:val="Table Grid"/>
    <w:basedOn w:val="TableNormal"/>
    <w:uiPriority w:val="59"/>
    <w:rsid w:val="00B941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basedOn w:val="DefaultParagraphFont"/>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Cs w:val="22"/>
      <w:lang w:val="id-ID"/>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cs="Arial"/>
      <w:sz w:val="16"/>
      <w:szCs w:val="16"/>
    </w:rPr>
  </w:style>
  <w:style w:type="character" w:customStyle="1" w:styleId="DocumentMapChar">
    <w:name w:val="Document Map Char"/>
    <w:basedOn w:val="DefaultParagraphFont"/>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A01C21"/>
    <w:pPr>
      <w:widowControl w:val="0"/>
      <w:autoSpaceDE w:val="0"/>
      <w:autoSpaceDN w:val="0"/>
      <w:adjustRightInd w:val="0"/>
      <w:spacing w:line="360" w:lineRule="auto"/>
      <w:jc w:val="center"/>
      <w:textAlignment w:val="baseline"/>
    </w:pPr>
    <w:rPr>
      <w:rFonts w:eastAsia="BatangChe"/>
      <w:b/>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F4258D"/>
    <w:pPr>
      <w:widowControl w:val="0"/>
      <w:numPr>
        <w:numId w:val="23"/>
      </w:numPr>
      <w:autoSpaceDE w:val="0"/>
      <w:autoSpaceDN w:val="0"/>
      <w:adjustRightInd w:val="0"/>
      <w:spacing w:before="60" w:line="360" w:lineRule="auto"/>
      <w:ind w:left="360"/>
      <w:jc w:val="both"/>
      <w:textAlignment w:val="baseline"/>
    </w:pPr>
    <w:rPr>
      <w:rFonts w:eastAsia="BatangChe"/>
      <w:szCs w:val="20"/>
      <w:lang w:eastAsia="ko-KR"/>
    </w:rPr>
  </w:style>
  <w:style w:type="character" w:customStyle="1" w:styleId="Style4">
    <w:name w:val="Style4"/>
    <w:uiPriority w:val="1"/>
    <w:rsid w:val="00231CAF"/>
    <w:rPr>
      <w:rFonts w:ascii="Tahoma" w:hAnsi="Tahom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Normal (Web)" w:uiPriority="99"/>
    <w:lsdException w:name="HTML Preformatted"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465"/>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b/>
      <w:bCs/>
    </w:rPr>
  </w:style>
  <w:style w:type="paragraph" w:styleId="Heading2">
    <w:name w:val="heading 2"/>
    <w:basedOn w:val="Normal"/>
    <w:next w:val="Normal"/>
    <w:link w:val="Heading2Char"/>
    <w:uiPriority w:val="9"/>
    <w:qFormat/>
    <w:rsid w:val="00D86465"/>
    <w:pPr>
      <w:keepNext/>
      <w:outlineLvl w:val="1"/>
    </w:pPr>
    <w:rPr>
      <w:b/>
      <w:bCs/>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ourier New" w:hAnsi="Courier New" w:cs="Courier Ne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
    <w:name w:val="Body Text"/>
    <w:basedOn w:val="Normal"/>
    <w:link w:val="BodyTextChar"/>
    <w:uiPriority w:val="99"/>
    <w:rsid w:val="00D86465"/>
    <w:pPr>
      <w:spacing w:line="360" w:lineRule="auto"/>
      <w:jc w:val="both"/>
    </w:p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Title">
    <w:name w:val="Title"/>
    <w:basedOn w:val="Normal"/>
    <w:link w:val="TitleChar"/>
    <w:uiPriority w:val="10"/>
    <w:qFormat/>
    <w:rsid w:val="00D86465"/>
    <w:pPr>
      <w:jc w:val="center"/>
    </w:pPr>
    <w:rPr>
      <w:b/>
      <w:bCs/>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b/>
      <w:bCs/>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styleId="Footer">
    <w:name w:val="footer"/>
    <w:basedOn w:val="Normal"/>
    <w:link w:val="FooterChar"/>
    <w:uiPriority w:val="99"/>
    <w:rsid w:val="00D86465"/>
    <w:pPr>
      <w:tabs>
        <w:tab w:val="center" w:pos="4153"/>
        <w:tab w:val="right" w:pos="8306"/>
      </w:tabs>
    </w:pPr>
  </w:style>
  <w:style w:type="character" w:customStyle="1" w:styleId="FooterChar">
    <w:name w:val="Footer Char"/>
    <w:basedOn w:val="DefaultParagraphFont"/>
    <w:link w:val="Footer"/>
    <w:uiPriority w:val="99"/>
    <w:locked/>
    <w:rsid w:val="004C6B85"/>
    <w:rPr>
      <w:rFonts w:cs="Times New Roman"/>
      <w:sz w:val="24"/>
      <w:szCs w:val="24"/>
    </w:rPr>
  </w:style>
  <w:style w:type="character" w:styleId="PageNumber">
    <w:name w:val="page number"/>
    <w:basedOn w:val="DefaultParagraphFont"/>
    <w:uiPriority w:val="99"/>
    <w:rsid w:val="00D86465"/>
    <w:rPr>
      <w:rFonts w:cs="Times New Roman"/>
    </w:rPr>
  </w:style>
  <w:style w:type="paragraph" w:styleId="FootnoteText">
    <w:name w:val="footnote text"/>
    <w:basedOn w:val="Normal"/>
    <w:link w:val="FootnoteTextChar"/>
    <w:uiPriority w:val="99"/>
    <w:rsid w:val="00D86465"/>
    <w:rPr>
      <w:sz w:val="20"/>
      <w:szCs w:val="20"/>
    </w:rPr>
  </w:style>
  <w:style w:type="character" w:customStyle="1" w:styleId="FootnoteTextChar">
    <w:name w:val="Footnote Text Char"/>
    <w:basedOn w:val="DefaultParagraphFont"/>
    <w:link w:val="FootnoteText"/>
    <w:uiPriority w:val="99"/>
    <w:locked/>
    <w:rsid w:val="003C29CC"/>
    <w:rPr>
      <w:rFonts w:cs="Times New Roman"/>
    </w:rPr>
  </w:style>
  <w:style w:type="character" w:styleId="FootnoteReference">
    <w:name w:val="footnote reference"/>
    <w:basedOn w:val="DefaultParagraphFont"/>
    <w:uiPriority w:val="99"/>
    <w:semiHidden/>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rFonts w:ascii="Courier New" w:hAnsi="Courier New" w:cs="Courier New"/>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character" w:styleId="Emphasis">
    <w:name w:val="Emphasis"/>
    <w:basedOn w:val="DefaultParagraphFont"/>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FE2D89"/>
    <w:rPr>
      <w:rFonts w:ascii="Courier New" w:hAnsi="Courier New" w:cs="Courier New"/>
    </w:rPr>
  </w:style>
  <w:style w:type="character" w:customStyle="1" w:styleId="gi">
    <w:name w:val="gi"/>
    <w:basedOn w:val="DefaultParagraphFont"/>
    <w:rsid w:val="00BD25D7"/>
    <w:rPr>
      <w:rFonts w:cs="Times New Roman"/>
    </w:rPr>
  </w:style>
  <w:style w:type="character" w:styleId="CommentReference">
    <w:name w:val="annotation reference"/>
    <w:basedOn w:val="DefaultParagraphFont"/>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rPr>
  </w:style>
  <w:style w:type="character" w:customStyle="1" w:styleId="CommentTextChar">
    <w:name w:val="Comment Text Char"/>
    <w:basedOn w:val="DefaultParagraphFont"/>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basedOn w:val="CommentText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cs="Tahoma"/>
      <w:sz w:val="16"/>
      <w:szCs w:val="16"/>
    </w:rPr>
  </w:style>
  <w:style w:type="character" w:customStyle="1" w:styleId="BalloonTextChar">
    <w:name w:val="Balloon Text Char"/>
    <w:basedOn w:val="DefaultParagraphFont"/>
    <w:link w:val="BalloonText"/>
    <w:uiPriority w:val="99"/>
    <w:locked/>
    <w:rsid w:val="003F14D9"/>
    <w:rPr>
      <w:rFonts w:ascii="Tahoma" w:hAnsi="Tahoma" w:cs="Tahoma"/>
      <w:sz w:val="16"/>
      <w:szCs w:val="16"/>
    </w:rPr>
  </w:style>
  <w:style w:type="paragraph" w:styleId="ListParagraph">
    <w:name w:val="List Paragraph"/>
    <w:basedOn w:val="Normal"/>
    <w:uiPriority w:val="34"/>
    <w:qFormat/>
    <w:rsid w:val="00EE3815"/>
    <w:pPr>
      <w:ind w:left="720"/>
      <w:contextualSpacing/>
    </w:pPr>
  </w:style>
  <w:style w:type="table" w:styleId="TableGrid">
    <w:name w:val="Table Grid"/>
    <w:basedOn w:val="TableNormal"/>
    <w:uiPriority w:val="59"/>
    <w:rsid w:val="00B941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basedOn w:val="DefaultParagraphFont"/>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Cs w:val="22"/>
      <w:lang w:val="id-ID"/>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cs="Arial"/>
      <w:sz w:val="16"/>
      <w:szCs w:val="16"/>
    </w:rPr>
  </w:style>
  <w:style w:type="character" w:customStyle="1" w:styleId="DocumentMapChar">
    <w:name w:val="Document Map Char"/>
    <w:basedOn w:val="DefaultParagraphFont"/>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A01C21"/>
    <w:pPr>
      <w:widowControl w:val="0"/>
      <w:autoSpaceDE w:val="0"/>
      <w:autoSpaceDN w:val="0"/>
      <w:adjustRightInd w:val="0"/>
      <w:spacing w:line="360" w:lineRule="auto"/>
      <w:jc w:val="center"/>
      <w:textAlignment w:val="baseline"/>
    </w:pPr>
    <w:rPr>
      <w:rFonts w:eastAsia="BatangChe"/>
      <w:b/>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F4258D"/>
    <w:pPr>
      <w:widowControl w:val="0"/>
      <w:numPr>
        <w:numId w:val="23"/>
      </w:numPr>
      <w:autoSpaceDE w:val="0"/>
      <w:autoSpaceDN w:val="0"/>
      <w:adjustRightInd w:val="0"/>
      <w:spacing w:before="60" w:line="360" w:lineRule="auto"/>
      <w:ind w:left="360"/>
      <w:jc w:val="both"/>
      <w:textAlignment w:val="baseline"/>
    </w:pPr>
    <w:rPr>
      <w:rFonts w:eastAsia="BatangChe"/>
      <w:szCs w:val="20"/>
      <w:lang w:eastAsia="ko-KR"/>
    </w:rPr>
  </w:style>
  <w:style w:type="character" w:customStyle="1" w:styleId="Style4">
    <w:name w:val="Style4"/>
    <w:uiPriority w:val="1"/>
    <w:rsid w:val="00231CAF"/>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007659">
      <w:marLeft w:val="0"/>
      <w:marRight w:val="0"/>
      <w:marTop w:val="0"/>
      <w:marBottom w:val="0"/>
      <w:divBdr>
        <w:top w:val="none" w:sz="0" w:space="0" w:color="auto"/>
        <w:left w:val="none" w:sz="0" w:space="0" w:color="auto"/>
        <w:bottom w:val="none" w:sz="0" w:space="0" w:color="auto"/>
        <w:right w:val="none" w:sz="0" w:space="0" w:color="auto"/>
      </w:divBdr>
    </w:div>
    <w:div w:id="1001007660">
      <w:marLeft w:val="0"/>
      <w:marRight w:val="0"/>
      <w:marTop w:val="0"/>
      <w:marBottom w:val="0"/>
      <w:divBdr>
        <w:top w:val="none" w:sz="0" w:space="0" w:color="auto"/>
        <w:left w:val="none" w:sz="0" w:space="0" w:color="auto"/>
        <w:bottom w:val="none" w:sz="0" w:space="0" w:color="auto"/>
        <w:right w:val="none" w:sz="0" w:space="0" w:color="auto"/>
      </w:divBdr>
    </w:div>
    <w:div w:id="1001007661">
      <w:marLeft w:val="0"/>
      <w:marRight w:val="0"/>
      <w:marTop w:val="0"/>
      <w:marBottom w:val="0"/>
      <w:divBdr>
        <w:top w:val="none" w:sz="0" w:space="0" w:color="auto"/>
        <w:left w:val="none" w:sz="0" w:space="0" w:color="auto"/>
        <w:bottom w:val="none" w:sz="0" w:space="0" w:color="auto"/>
        <w:right w:val="none" w:sz="0" w:space="0" w:color="auto"/>
      </w:divBdr>
    </w:div>
    <w:div w:id="1001007662">
      <w:marLeft w:val="0"/>
      <w:marRight w:val="0"/>
      <w:marTop w:val="0"/>
      <w:marBottom w:val="0"/>
      <w:divBdr>
        <w:top w:val="none" w:sz="0" w:space="0" w:color="auto"/>
        <w:left w:val="none" w:sz="0" w:space="0" w:color="auto"/>
        <w:bottom w:val="none" w:sz="0" w:space="0" w:color="auto"/>
        <w:right w:val="none" w:sz="0" w:space="0" w:color="auto"/>
      </w:divBdr>
    </w:div>
    <w:div w:id="1001007663">
      <w:marLeft w:val="0"/>
      <w:marRight w:val="0"/>
      <w:marTop w:val="0"/>
      <w:marBottom w:val="0"/>
      <w:divBdr>
        <w:top w:val="none" w:sz="0" w:space="0" w:color="auto"/>
        <w:left w:val="none" w:sz="0" w:space="0" w:color="auto"/>
        <w:bottom w:val="none" w:sz="0" w:space="0" w:color="auto"/>
        <w:right w:val="none" w:sz="0" w:space="0" w:color="auto"/>
      </w:divBdr>
    </w:div>
    <w:div w:id="10010076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mailto:andibahris@iainpare.ac.id"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EKONOMI%20ABU%20UBAID%20JUR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6FBFB-3926-457B-873F-280236399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EKONOMI ABU UBAID JURNAL</Template>
  <TotalTime>25</TotalTime>
  <Pages>11</Pages>
  <Words>8729</Words>
  <Characters>49761</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PEMIKIRAN EKONOMI ABU UBAID</vt:lpstr>
    </vt:vector>
  </TitlesOfParts>
  <Company>www.Dayat.comp</Company>
  <LinksUpToDate>false</LinksUpToDate>
  <CharactersWithSpaces>58374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PEMIKIRAN EKONOMI ABU UBAID</dc:title>
  <dc:creator>ismail - [2010]</dc:creator>
  <cp:lastModifiedBy>lenovo</cp:lastModifiedBy>
  <cp:revision>3</cp:revision>
  <cp:lastPrinted>2019-05-26T03:25:00Z</cp:lastPrinted>
  <dcterms:created xsi:type="dcterms:W3CDTF">2023-10-08T14:26:00Z</dcterms:created>
  <dcterms:modified xsi:type="dcterms:W3CDTF">2023-10-08T14:51:00Z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id="BFEuSoqA"/&gt;&lt;style id="http://www.zotero.org/styles/chicago-fullnote-bibliography" locale="en-US"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