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6836599"/>
    <w:p w:rsidR="005F476E" w:rsidRPr="00C365C5" w:rsidRDefault="003C1D38" w:rsidP="00C365C5">
      <w:pPr>
        <w:pStyle w:val="Title"/>
        <w:spacing w:before="360" w:after="240"/>
        <w:rPr>
          <w:rFonts w:ascii="Garamond" w:hAnsi="Garamond"/>
          <w:color w:val="000000"/>
          <w:sz w:val="24"/>
          <w:szCs w:val="24"/>
          <w:lang w:val="id-ID"/>
        </w:rPr>
      </w:pPr>
      <w:r>
        <w:rPr>
          <w:rFonts w:ascii="Garamond" w:hAnsi="Garamond"/>
          <w:noProof/>
          <w:color w:val="000000"/>
          <w:sz w:val="24"/>
          <w:szCs w:val="24"/>
          <w:lang w:val="en-US" w:eastAsia="en-US"/>
        </w:rPr>
        <mc:AlternateContent>
          <mc:Choice Requires="wpg">
            <w:drawing>
              <wp:anchor distT="0" distB="0" distL="114300" distR="114300" simplePos="0" relativeHeight="251657728" behindDoc="0" locked="0" layoutInCell="1" allowOverlap="1">
                <wp:simplePos x="0" y="0"/>
                <wp:positionH relativeFrom="column">
                  <wp:posOffset>-18415</wp:posOffset>
                </wp:positionH>
                <wp:positionV relativeFrom="paragraph">
                  <wp:posOffset>-445135</wp:posOffset>
                </wp:positionV>
                <wp:extent cx="4698365" cy="989330"/>
                <wp:effectExtent l="10160" t="12065" r="1587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Pr>
                                  <w:rFonts w:cs="Calibri"/>
                                  <w:b/>
                                  <w:bCs/>
                                  <w:color w:val="FFFFFF"/>
                                  <w:sz w:val="20"/>
                                  <w:szCs w:val="20"/>
                                  <w:lang w:val="id-ID"/>
                                </w:rPr>
                                <w:t>7</w:t>
                              </w:r>
                              <w:proofErr w:type="spellStart"/>
                              <w:r>
                                <w:rPr>
                                  <w:rFonts w:cs="Calibri"/>
                                  <w:b/>
                                  <w:bCs/>
                                  <w:color w:val="FFFFFF"/>
                                  <w:sz w:val="20"/>
                                  <w:szCs w:val="20"/>
                                </w:rPr>
                                <w:t>i</w:t>
                              </w:r>
                              <w:proofErr w:type="spellEnd"/>
                              <w:r>
                                <w:rPr>
                                  <w:rFonts w:cs="Calibri"/>
                                  <w:b/>
                                  <w:bCs/>
                                  <w:color w:val="FFFFFF"/>
                                  <w:sz w:val="20"/>
                                  <w:szCs w:val="20"/>
                                  <w:lang w:val="id-ID"/>
                                </w:rPr>
                                <w:t>1</w:t>
                              </w:r>
                              <w:r w:rsidR="00F803C5">
                                <w:rPr>
                                  <w:rFonts w:cs="Calibri"/>
                                  <w:b/>
                                  <w:bCs/>
                                  <w:color w:val="FFFFFF"/>
                                  <w:sz w:val="20"/>
                                  <w:szCs w:val="20"/>
                                </w:rPr>
                                <w:t>.</w:t>
                              </w:r>
                              <w:r w:rsidRPr="008D25D6">
                                <w:rPr>
                                  <w:rFonts w:cs="Calibri"/>
                                  <w:b/>
                                  <w:bCs/>
                                  <w:color w:val="FFFFFF"/>
                                  <w:sz w:val="20"/>
                                  <w:szCs w:val="20"/>
                                </w:rPr>
                                <w:t>43</w:t>
                              </w:r>
                              <w:r w:rsidR="00F803C5">
                                <w:rPr>
                                  <w:rFonts w:cs="Calibri"/>
                                  <w:b/>
                                  <w:bCs/>
                                  <w:color w:val="FFFFFF"/>
                                  <w:sz w:val="20"/>
                                  <w:szCs w:val="20"/>
                                </w:rPr>
                                <w:t>03</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1.45pt;margin-top:-35.05pt;width:369.95pt;height:77.9pt;z-index:251657728"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5nrdl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CB3120" w:rsidRPr="0050470A" w:rsidRDefault="00CB3120" w:rsidP="000477D4">
                        <w:pPr>
                          <w:pStyle w:val="NoSpacing"/>
                          <w:shd w:val="clear" w:color="auto" w:fill="7F7F7F"/>
                          <w:ind w:left="0"/>
                          <w:rPr>
                            <w:rFonts w:cs="Calibri"/>
                            <w:b/>
                            <w:bCs/>
                            <w:color w:val="FFFFFF"/>
                            <w:sz w:val="12"/>
                            <w:szCs w:val="12"/>
                          </w:rPr>
                        </w:pPr>
                      </w:p>
                      <w:p w:rsidR="00CB3120" w:rsidRPr="0050470A" w:rsidRDefault="00CB3120"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CB3120" w:rsidRPr="008D25D6" w:rsidRDefault="00CB3120"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Al-Falah: Journal of Islamic Economics</w:t>
                        </w:r>
                      </w:p>
                      <w:p w:rsidR="00CB3120" w:rsidRPr="0094318F" w:rsidRDefault="00CB3120"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CB3120" w:rsidRPr="008D25D6" w:rsidRDefault="00CB3120" w:rsidP="000477D4">
                        <w:pPr>
                          <w:shd w:val="clear" w:color="auto" w:fill="7F7F7F"/>
                          <w:jc w:val="center"/>
                          <w:rPr>
                            <w:rFonts w:cs="Calibri"/>
                            <w:b/>
                            <w:bCs/>
                            <w:color w:val="FFFFFF"/>
                            <w:sz w:val="20"/>
                            <w:szCs w:val="20"/>
                          </w:rPr>
                        </w:pPr>
                        <w:r w:rsidRPr="008D25D6">
                          <w:rPr>
                            <w:rFonts w:cs="Calibri"/>
                            <w:b/>
                            <w:bCs/>
                            <w:color w:val="FFFFFF"/>
                            <w:sz w:val="20"/>
                            <w:szCs w:val="20"/>
                          </w:rPr>
                          <w:t>DOI: 10.29240/alfalah.v</w:t>
                        </w:r>
                        <w:r>
                          <w:rPr>
                            <w:rFonts w:cs="Calibri"/>
                            <w:b/>
                            <w:bCs/>
                            <w:color w:val="FFFFFF"/>
                            <w:sz w:val="20"/>
                            <w:szCs w:val="20"/>
                            <w:lang w:val="id-ID"/>
                          </w:rPr>
                          <w:t>7</w:t>
                        </w:r>
                        <w:r>
                          <w:rPr>
                            <w:rFonts w:cs="Calibri"/>
                            <w:b/>
                            <w:bCs/>
                            <w:color w:val="FFFFFF"/>
                            <w:sz w:val="20"/>
                            <w:szCs w:val="20"/>
                          </w:rPr>
                          <w:t>i</w:t>
                        </w:r>
                        <w:r>
                          <w:rPr>
                            <w:rFonts w:cs="Calibri"/>
                            <w:b/>
                            <w:bCs/>
                            <w:color w:val="FFFFFF"/>
                            <w:sz w:val="20"/>
                            <w:szCs w:val="20"/>
                            <w:lang w:val="id-ID"/>
                          </w:rPr>
                          <w:t>1</w:t>
                        </w:r>
                        <w:r w:rsidR="00F803C5">
                          <w:rPr>
                            <w:rFonts w:cs="Calibri"/>
                            <w:b/>
                            <w:bCs/>
                            <w:color w:val="FFFFFF"/>
                            <w:sz w:val="20"/>
                            <w:szCs w:val="20"/>
                          </w:rPr>
                          <w:t>.</w:t>
                        </w:r>
                        <w:r w:rsidRPr="008D25D6">
                          <w:rPr>
                            <w:rFonts w:cs="Calibri"/>
                            <w:b/>
                            <w:bCs/>
                            <w:color w:val="FFFFFF"/>
                            <w:sz w:val="20"/>
                            <w:szCs w:val="20"/>
                          </w:rPr>
                          <w:t>43</w:t>
                        </w:r>
                        <w:r w:rsidR="00F803C5">
                          <w:rPr>
                            <w:rFonts w:cs="Calibri"/>
                            <w:b/>
                            <w:bCs/>
                            <w:color w:val="FFFFFF"/>
                            <w:sz w:val="20"/>
                            <w:szCs w:val="20"/>
                          </w:rPr>
                          <w:t>03</w:t>
                        </w:r>
                      </w:p>
                      <w:p w:rsidR="00CB3120" w:rsidRPr="009E53B0" w:rsidRDefault="00CB3120" w:rsidP="000477D4">
                        <w:pPr>
                          <w:pStyle w:val="NoSpacing"/>
                          <w:shd w:val="clear" w:color="auto" w:fill="7F7F7F"/>
                          <w:ind w:left="0"/>
                          <w:jc w:val="center"/>
                          <w:rPr>
                            <w:rFonts w:cs="Calibri"/>
                            <w:b/>
                            <w:bCs/>
                            <w:sz w:val="26"/>
                            <w:szCs w:val="26"/>
                          </w:rPr>
                        </w:pPr>
                      </w:p>
                      <w:p w:rsidR="00CB3120" w:rsidRPr="009E53B0" w:rsidRDefault="00CB3120"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0E0E96" w:rsidRPr="00C365C5" w:rsidRDefault="000E0E96" w:rsidP="00C365C5">
      <w:pPr>
        <w:spacing w:before="360" w:after="240"/>
        <w:jc w:val="center"/>
        <w:rPr>
          <w:rFonts w:ascii="Garamond" w:hAnsi="Garamond"/>
          <w:b/>
          <w:bCs/>
        </w:rPr>
      </w:pPr>
      <w:bookmarkStart w:id="1" w:name="_Hlk88310141"/>
      <w:r w:rsidRPr="00C365C5">
        <w:rPr>
          <w:rFonts w:ascii="Garamond" w:hAnsi="Garamond"/>
          <w:b/>
          <w:bCs/>
        </w:rPr>
        <w:t xml:space="preserve">Financing Restructuring </w:t>
      </w:r>
      <w:proofErr w:type="gramStart"/>
      <w:r w:rsidR="00AE6743">
        <w:rPr>
          <w:rFonts w:ascii="Garamond" w:hAnsi="Garamond"/>
          <w:b/>
          <w:bCs/>
        </w:rPr>
        <w:t>D</w:t>
      </w:r>
      <w:r w:rsidR="00C365C5" w:rsidRPr="00C365C5">
        <w:rPr>
          <w:rFonts w:ascii="Garamond" w:hAnsi="Garamond"/>
          <w:b/>
          <w:bCs/>
        </w:rPr>
        <w:t>uring</w:t>
      </w:r>
      <w:proofErr w:type="gramEnd"/>
      <w:r w:rsidRPr="00C365C5">
        <w:rPr>
          <w:rFonts w:ascii="Garamond" w:hAnsi="Garamond"/>
          <w:b/>
          <w:bCs/>
        </w:rPr>
        <w:t xml:space="preserve"> </w:t>
      </w:r>
      <w:r w:rsidR="00C365C5" w:rsidRPr="00C365C5">
        <w:rPr>
          <w:rFonts w:ascii="Garamond" w:hAnsi="Garamond"/>
          <w:b/>
          <w:bCs/>
        </w:rPr>
        <w:t>the</w:t>
      </w:r>
      <w:r w:rsidRPr="00C365C5">
        <w:rPr>
          <w:rFonts w:ascii="Garamond" w:hAnsi="Garamond"/>
          <w:b/>
          <w:bCs/>
        </w:rPr>
        <w:t xml:space="preserve"> Covid-19 Pandemic: The </w:t>
      </w:r>
      <w:proofErr w:type="spellStart"/>
      <w:r w:rsidRPr="00C365C5">
        <w:rPr>
          <w:rFonts w:ascii="Garamond" w:hAnsi="Garamond"/>
          <w:b/>
          <w:bCs/>
        </w:rPr>
        <w:t>Tadhbiq</w:t>
      </w:r>
      <w:proofErr w:type="spellEnd"/>
      <w:r w:rsidR="00C365C5" w:rsidRPr="00C365C5">
        <w:rPr>
          <w:rFonts w:ascii="Garamond" w:hAnsi="Garamond"/>
          <w:b/>
          <w:bCs/>
          <w:lang w:val="id-ID"/>
        </w:rPr>
        <w:t xml:space="preserve"> </w:t>
      </w:r>
      <w:proofErr w:type="spellStart"/>
      <w:r w:rsidRPr="00C365C5">
        <w:rPr>
          <w:rFonts w:ascii="Garamond" w:hAnsi="Garamond"/>
          <w:b/>
          <w:bCs/>
        </w:rPr>
        <w:t>Ahkam</w:t>
      </w:r>
      <w:proofErr w:type="spellEnd"/>
      <w:r w:rsidRPr="00C365C5">
        <w:rPr>
          <w:rFonts w:ascii="Garamond" w:hAnsi="Garamond"/>
          <w:b/>
          <w:bCs/>
        </w:rPr>
        <w:t xml:space="preserve"> Paradigm</w:t>
      </w:r>
    </w:p>
    <w:p w:rsidR="00C365C5" w:rsidRPr="00C365C5" w:rsidRDefault="00831747" w:rsidP="00831747">
      <w:pPr>
        <w:jc w:val="center"/>
        <w:rPr>
          <w:rFonts w:ascii="Garamond" w:hAnsi="Garamond"/>
          <w:b/>
          <w:sz w:val="22"/>
          <w:szCs w:val="20"/>
          <w:vertAlign w:val="superscript"/>
          <w:lang w:val="id-ID"/>
        </w:rPr>
      </w:pPr>
      <w:r w:rsidRPr="00C365C5">
        <w:rPr>
          <w:rFonts w:ascii="Garamond" w:hAnsi="Garamond"/>
          <w:b/>
          <w:bCs/>
          <w:sz w:val="22"/>
          <w:szCs w:val="20"/>
          <w:vertAlign w:val="superscript"/>
          <w:lang w:val="id-ID"/>
        </w:rPr>
        <w:t>*</w:t>
      </w:r>
      <w:r w:rsidR="000E0E96" w:rsidRPr="00C365C5">
        <w:rPr>
          <w:rFonts w:ascii="Garamond" w:hAnsi="Garamond"/>
          <w:b/>
          <w:bCs/>
          <w:sz w:val="22"/>
          <w:szCs w:val="20"/>
        </w:rPr>
        <w:t>Endah RobiatulAdawiyah</w:t>
      </w:r>
      <w:r w:rsidR="000E0E96" w:rsidRPr="00C365C5">
        <w:rPr>
          <w:rFonts w:ascii="Garamond" w:hAnsi="Garamond"/>
          <w:b/>
          <w:bCs/>
          <w:sz w:val="22"/>
          <w:szCs w:val="20"/>
          <w:vertAlign w:val="superscript"/>
        </w:rPr>
        <w:t>1</w:t>
      </w:r>
      <w:r w:rsidR="000E0E96" w:rsidRPr="00C365C5">
        <w:rPr>
          <w:rFonts w:ascii="Garamond" w:hAnsi="Garamond"/>
          <w:b/>
          <w:bCs/>
          <w:sz w:val="22"/>
          <w:szCs w:val="20"/>
        </w:rPr>
        <w:t>,</w:t>
      </w:r>
      <w:r w:rsidR="00C365C5" w:rsidRPr="00C365C5">
        <w:rPr>
          <w:rFonts w:ascii="Garamond" w:hAnsi="Garamond"/>
          <w:b/>
          <w:bCs/>
          <w:sz w:val="22"/>
          <w:szCs w:val="20"/>
          <w:lang w:val="id-ID"/>
        </w:rPr>
        <w:t xml:space="preserve"> </w:t>
      </w:r>
      <w:r w:rsidR="000E0E96" w:rsidRPr="00C365C5">
        <w:rPr>
          <w:rFonts w:ascii="Garamond" w:hAnsi="Garamond"/>
          <w:b/>
          <w:sz w:val="22"/>
          <w:szCs w:val="20"/>
        </w:rPr>
        <w:t>Rudi Setiadi</w:t>
      </w:r>
      <w:r w:rsidR="000E0E96" w:rsidRPr="00C365C5">
        <w:rPr>
          <w:rFonts w:ascii="Garamond" w:hAnsi="Garamond"/>
          <w:b/>
          <w:sz w:val="22"/>
          <w:szCs w:val="20"/>
          <w:vertAlign w:val="superscript"/>
        </w:rPr>
        <w:t>2</w:t>
      </w:r>
      <w:r w:rsidR="000E0E96" w:rsidRPr="00C365C5">
        <w:rPr>
          <w:rFonts w:ascii="Garamond" w:hAnsi="Garamond"/>
          <w:b/>
          <w:bCs/>
          <w:sz w:val="22"/>
          <w:szCs w:val="20"/>
        </w:rPr>
        <w:t>,</w:t>
      </w:r>
      <w:r w:rsidR="00C365C5" w:rsidRPr="00C365C5">
        <w:rPr>
          <w:rFonts w:ascii="Garamond" w:hAnsi="Garamond"/>
          <w:b/>
          <w:bCs/>
          <w:sz w:val="22"/>
          <w:szCs w:val="20"/>
          <w:lang w:val="id-ID"/>
        </w:rPr>
        <w:t xml:space="preserve"> </w:t>
      </w:r>
      <w:proofErr w:type="spellStart"/>
      <w:r w:rsidR="000E0E96" w:rsidRPr="00C365C5">
        <w:rPr>
          <w:rFonts w:ascii="Garamond" w:hAnsi="Garamond"/>
          <w:b/>
          <w:bCs/>
          <w:sz w:val="22"/>
          <w:szCs w:val="20"/>
        </w:rPr>
        <w:t>Dadang</w:t>
      </w:r>
      <w:proofErr w:type="spellEnd"/>
      <w:r w:rsidR="000E0E96" w:rsidRPr="00C365C5">
        <w:rPr>
          <w:rFonts w:ascii="Garamond" w:hAnsi="Garamond"/>
          <w:b/>
          <w:bCs/>
          <w:sz w:val="22"/>
          <w:szCs w:val="20"/>
        </w:rPr>
        <w:t xml:space="preserve"> Rohandi</w:t>
      </w:r>
      <w:r w:rsidR="00AE6743">
        <w:rPr>
          <w:rFonts w:ascii="Garamond" w:hAnsi="Garamond"/>
          <w:b/>
          <w:bCs/>
          <w:sz w:val="22"/>
          <w:szCs w:val="20"/>
          <w:vertAlign w:val="superscript"/>
        </w:rPr>
        <w:t>3</w:t>
      </w:r>
      <w:r w:rsidR="00AE6743">
        <w:rPr>
          <w:rFonts w:ascii="Garamond" w:hAnsi="Garamond"/>
          <w:b/>
          <w:bCs/>
          <w:sz w:val="22"/>
          <w:szCs w:val="20"/>
        </w:rPr>
        <w:t>,</w:t>
      </w:r>
      <w:r w:rsidR="000E0E96" w:rsidRPr="00C365C5">
        <w:rPr>
          <w:rFonts w:ascii="Garamond" w:hAnsi="Garamond"/>
          <w:b/>
          <w:bCs/>
          <w:sz w:val="22"/>
          <w:szCs w:val="20"/>
          <w:vertAlign w:val="superscript"/>
        </w:rPr>
        <w:t xml:space="preserve"> </w:t>
      </w:r>
      <w:proofErr w:type="spellStart"/>
      <w:r w:rsidR="000E0E96" w:rsidRPr="00C365C5">
        <w:rPr>
          <w:rFonts w:ascii="Garamond" w:hAnsi="Garamond"/>
          <w:b/>
          <w:bCs/>
          <w:sz w:val="22"/>
          <w:szCs w:val="20"/>
        </w:rPr>
        <w:t>Udin</w:t>
      </w:r>
      <w:proofErr w:type="spellEnd"/>
      <w:r w:rsidR="000E0E96" w:rsidRPr="00C365C5">
        <w:rPr>
          <w:rFonts w:ascii="Garamond" w:hAnsi="Garamond"/>
          <w:b/>
          <w:sz w:val="22"/>
          <w:szCs w:val="20"/>
        </w:rPr>
        <w:t xml:space="preserve"> Wahrudin</w:t>
      </w:r>
      <w:r w:rsidR="000E0E96" w:rsidRPr="00C365C5">
        <w:rPr>
          <w:rFonts w:ascii="Garamond" w:hAnsi="Garamond"/>
          <w:b/>
          <w:sz w:val="22"/>
          <w:szCs w:val="20"/>
          <w:vertAlign w:val="superscript"/>
        </w:rPr>
        <w:t>4</w:t>
      </w:r>
      <w:r w:rsidR="00C365C5" w:rsidRPr="00C365C5">
        <w:rPr>
          <w:rFonts w:ascii="Garamond" w:hAnsi="Garamond"/>
          <w:b/>
          <w:sz w:val="22"/>
          <w:szCs w:val="20"/>
        </w:rPr>
        <w:t xml:space="preserve">, </w:t>
      </w:r>
      <w:proofErr w:type="spellStart"/>
      <w:r w:rsidR="000E0E96" w:rsidRPr="00C365C5">
        <w:rPr>
          <w:rFonts w:ascii="Garamond" w:hAnsi="Garamond"/>
          <w:b/>
          <w:sz w:val="22"/>
          <w:szCs w:val="20"/>
        </w:rPr>
        <w:t>Inayatul</w:t>
      </w:r>
      <w:proofErr w:type="spellEnd"/>
      <w:r w:rsidR="000E0E96" w:rsidRPr="00C365C5">
        <w:rPr>
          <w:rFonts w:ascii="Garamond" w:hAnsi="Garamond"/>
          <w:b/>
          <w:sz w:val="22"/>
          <w:szCs w:val="20"/>
        </w:rPr>
        <w:t xml:space="preserve"> Ummah</w:t>
      </w:r>
      <w:r w:rsidR="000E0E96" w:rsidRPr="00C365C5">
        <w:rPr>
          <w:rFonts w:ascii="Garamond" w:hAnsi="Garamond"/>
          <w:b/>
          <w:sz w:val="22"/>
          <w:szCs w:val="20"/>
          <w:vertAlign w:val="superscript"/>
        </w:rPr>
        <w:t>5</w:t>
      </w:r>
    </w:p>
    <w:p w:rsidR="000E0E96" w:rsidRPr="00C365C5" w:rsidRDefault="000E0E96" w:rsidP="00C365C5">
      <w:pPr>
        <w:jc w:val="center"/>
        <w:rPr>
          <w:rFonts w:ascii="Garamond" w:hAnsi="Garamond"/>
          <w:b/>
          <w:bCs/>
          <w:sz w:val="22"/>
          <w:szCs w:val="20"/>
        </w:rPr>
      </w:pPr>
      <w:r w:rsidRPr="009323B6">
        <w:rPr>
          <w:rFonts w:ascii="Garamond" w:hAnsi="Garamond"/>
          <w:iCs/>
          <w:sz w:val="22"/>
          <w:szCs w:val="20"/>
          <w:vertAlign w:val="superscript"/>
        </w:rPr>
        <w:t>1</w:t>
      </w:r>
      <w:r w:rsidR="00410074">
        <w:rPr>
          <w:rFonts w:ascii="Garamond" w:hAnsi="Garamond"/>
          <w:iCs/>
          <w:sz w:val="22"/>
          <w:szCs w:val="20"/>
          <w:vertAlign w:val="superscript"/>
        </w:rPr>
        <w:t>2</w:t>
      </w:r>
      <w:bookmarkStart w:id="2" w:name="_GoBack"/>
      <w:bookmarkEnd w:id="2"/>
      <w:r w:rsidRPr="00C365C5">
        <w:rPr>
          <w:rFonts w:ascii="Garamond" w:hAnsi="Garamond"/>
          <w:i/>
          <w:iCs/>
          <w:sz w:val="22"/>
          <w:szCs w:val="20"/>
        </w:rPr>
        <w:t>S</w:t>
      </w:r>
      <w:r w:rsidR="00831747">
        <w:rPr>
          <w:rFonts w:ascii="Garamond" w:hAnsi="Garamond"/>
          <w:i/>
          <w:iCs/>
          <w:sz w:val="22"/>
          <w:szCs w:val="20"/>
        </w:rPr>
        <w:t xml:space="preserve">ekolah </w:t>
      </w:r>
      <w:r w:rsidRPr="00C365C5">
        <w:rPr>
          <w:rFonts w:ascii="Garamond" w:hAnsi="Garamond"/>
          <w:i/>
          <w:iCs/>
          <w:sz w:val="22"/>
          <w:szCs w:val="20"/>
        </w:rPr>
        <w:t>T</w:t>
      </w:r>
      <w:r w:rsidR="00831747">
        <w:rPr>
          <w:rFonts w:ascii="Garamond" w:hAnsi="Garamond"/>
          <w:i/>
          <w:iCs/>
          <w:sz w:val="22"/>
          <w:szCs w:val="20"/>
        </w:rPr>
        <w:t xml:space="preserve">inggi </w:t>
      </w:r>
      <w:r w:rsidRPr="00C365C5">
        <w:rPr>
          <w:rFonts w:ascii="Garamond" w:hAnsi="Garamond"/>
          <w:i/>
          <w:iCs/>
          <w:sz w:val="22"/>
          <w:szCs w:val="20"/>
        </w:rPr>
        <w:t>E</w:t>
      </w:r>
      <w:r w:rsidR="00831747">
        <w:rPr>
          <w:rFonts w:ascii="Garamond" w:hAnsi="Garamond"/>
          <w:i/>
          <w:iCs/>
          <w:sz w:val="22"/>
          <w:szCs w:val="20"/>
        </w:rPr>
        <w:t xml:space="preserve">konomi </w:t>
      </w:r>
      <w:r w:rsidRPr="00C365C5">
        <w:rPr>
          <w:rFonts w:ascii="Garamond" w:hAnsi="Garamond"/>
          <w:i/>
          <w:iCs/>
          <w:sz w:val="22"/>
          <w:szCs w:val="20"/>
        </w:rPr>
        <w:t>I</w:t>
      </w:r>
      <w:r w:rsidR="00831747">
        <w:rPr>
          <w:rFonts w:ascii="Garamond" w:hAnsi="Garamond"/>
          <w:i/>
          <w:iCs/>
          <w:sz w:val="22"/>
          <w:szCs w:val="20"/>
        </w:rPr>
        <w:t>slam Al-</w:t>
      </w:r>
      <w:r w:rsidRPr="00C365C5">
        <w:rPr>
          <w:rFonts w:ascii="Garamond" w:hAnsi="Garamond"/>
          <w:i/>
          <w:iCs/>
          <w:sz w:val="22"/>
          <w:szCs w:val="20"/>
        </w:rPr>
        <w:t>Amar Subang</w:t>
      </w:r>
    </w:p>
    <w:p w:rsidR="000E0E96" w:rsidRPr="00C365C5" w:rsidRDefault="000E0E96" w:rsidP="00C365C5">
      <w:pPr>
        <w:shd w:val="clear" w:color="auto" w:fill="FFFFFF"/>
        <w:jc w:val="center"/>
        <w:outlineLvl w:val="2"/>
        <w:rPr>
          <w:rFonts w:ascii="Garamond" w:hAnsi="Garamond"/>
          <w:i/>
          <w:iCs/>
          <w:sz w:val="22"/>
          <w:szCs w:val="20"/>
        </w:rPr>
      </w:pPr>
      <w:r w:rsidRPr="009323B6">
        <w:rPr>
          <w:rFonts w:ascii="Garamond" w:hAnsi="Garamond"/>
          <w:sz w:val="22"/>
          <w:szCs w:val="20"/>
          <w:vertAlign w:val="superscript"/>
        </w:rPr>
        <w:t>3</w:t>
      </w:r>
      <w:r w:rsidR="00831747">
        <w:rPr>
          <w:rFonts w:ascii="Garamond" w:hAnsi="Garamond"/>
          <w:i/>
          <w:iCs/>
          <w:sz w:val="22"/>
          <w:szCs w:val="20"/>
        </w:rPr>
        <w:t xml:space="preserve">Universitas Islam Negeri </w:t>
      </w:r>
      <w:proofErr w:type="spellStart"/>
      <w:r w:rsidRPr="00C365C5">
        <w:rPr>
          <w:rFonts w:ascii="Garamond" w:hAnsi="Garamond"/>
          <w:i/>
          <w:iCs/>
          <w:sz w:val="22"/>
          <w:szCs w:val="20"/>
        </w:rPr>
        <w:t>Sunan</w:t>
      </w:r>
      <w:proofErr w:type="spellEnd"/>
      <w:r w:rsidR="00831747">
        <w:rPr>
          <w:rFonts w:ascii="Garamond" w:hAnsi="Garamond"/>
          <w:i/>
          <w:iCs/>
          <w:sz w:val="22"/>
          <w:szCs w:val="20"/>
        </w:rPr>
        <w:t xml:space="preserve"> Gunung </w:t>
      </w:r>
      <w:proofErr w:type="spellStart"/>
      <w:r w:rsidR="00831747">
        <w:rPr>
          <w:rFonts w:ascii="Garamond" w:hAnsi="Garamond"/>
          <w:i/>
          <w:iCs/>
          <w:sz w:val="22"/>
          <w:szCs w:val="20"/>
        </w:rPr>
        <w:t>Djati</w:t>
      </w:r>
      <w:proofErr w:type="spellEnd"/>
      <w:r w:rsidR="00831747">
        <w:rPr>
          <w:rFonts w:ascii="Garamond" w:hAnsi="Garamond"/>
          <w:i/>
          <w:iCs/>
          <w:sz w:val="22"/>
          <w:szCs w:val="20"/>
        </w:rPr>
        <w:t xml:space="preserve"> Bandung</w:t>
      </w:r>
    </w:p>
    <w:p w:rsidR="000E0E96" w:rsidRPr="00C365C5" w:rsidRDefault="00C365C5" w:rsidP="00C365C5">
      <w:pPr>
        <w:shd w:val="clear" w:color="auto" w:fill="FFFFFF"/>
        <w:jc w:val="center"/>
        <w:outlineLvl w:val="2"/>
        <w:rPr>
          <w:rFonts w:ascii="Garamond" w:hAnsi="Garamond"/>
          <w:i/>
          <w:iCs/>
          <w:sz w:val="22"/>
          <w:szCs w:val="20"/>
        </w:rPr>
      </w:pPr>
      <w:r w:rsidRPr="009323B6">
        <w:rPr>
          <w:rFonts w:ascii="Garamond" w:hAnsi="Garamond"/>
          <w:sz w:val="22"/>
          <w:szCs w:val="20"/>
          <w:vertAlign w:val="superscript"/>
          <w:lang w:val="id-ID"/>
        </w:rPr>
        <w:t>4</w:t>
      </w:r>
      <w:r w:rsidR="000E0E96" w:rsidRPr="009323B6">
        <w:rPr>
          <w:rFonts w:ascii="Garamond" w:hAnsi="Garamond"/>
          <w:sz w:val="22"/>
          <w:szCs w:val="20"/>
          <w:vertAlign w:val="superscript"/>
        </w:rPr>
        <w:t>,5</w:t>
      </w:r>
      <w:r w:rsidR="000E0E96" w:rsidRPr="00C365C5">
        <w:rPr>
          <w:rFonts w:ascii="Garamond" w:hAnsi="Garamond"/>
          <w:i/>
          <w:iCs/>
          <w:sz w:val="22"/>
          <w:szCs w:val="20"/>
        </w:rPr>
        <w:t>S</w:t>
      </w:r>
      <w:r w:rsidR="00831747">
        <w:rPr>
          <w:rFonts w:ascii="Garamond" w:hAnsi="Garamond"/>
          <w:i/>
          <w:iCs/>
          <w:sz w:val="22"/>
          <w:szCs w:val="20"/>
        </w:rPr>
        <w:t xml:space="preserve">ekolah </w:t>
      </w:r>
      <w:r w:rsidR="000E0E96" w:rsidRPr="00C365C5">
        <w:rPr>
          <w:rFonts w:ascii="Garamond" w:hAnsi="Garamond"/>
          <w:i/>
          <w:iCs/>
          <w:sz w:val="22"/>
          <w:szCs w:val="20"/>
        </w:rPr>
        <w:t>T</w:t>
      </w:r>
      <w:r w:rsidR="00831747">
        <w:rPr>
          <w:rFonts w:ascii="Garamond" w:hAnsi="Garamond"/>
          <w:i/>
          <w:iCs/>
          <w:sz w:val="22"/>
          <w:szCs w:val="20"/>
        </w:rPr>
        <w:t xml:space="preserve">inggi </w:t>
      </w:r>
      <w:r w:rsidR="000E0E96" w:rsidRPr="00C365C5">
        <w:rPr>
          <w:rFonts w:ascii="Garamond" w:hAnsi="Garamond"/>
          <w:i/>
          <w:iCs/>
          <w:sz w:val="22"/>
          <w:szCs w:val="20"/>
        </w:rPr>
        <w:t>A</w:t>
      </w:r>
      <w:r w:rsidR="00831747">
        <w:rPr>
          <w:rFonts w:ascii="Garamond" w:hAnsi="Garamond"/>
          <w:i/>
          <w:iCs/>
          <w:sz w:val="22"/>
          <w:szCs w:val="20"/>
        </w:rPr>
        <w:t xml:space="preserve">gama </w:t>
      </w:r>
      <w:r w:rsidR="000E0E96" w:rsidRPr="00C365C5">
        <w:rPr>
          <w:rFonts w:ascii="Garamond" w:hAnsi="Garamond"/>
          <w:i/>
          <w:iCs/>
          <w:sz w:val="22"/>
          <w:szCs w:val="20"/>
        </w:rPr>
        <w:t>I</w:t>
      </w:r>
      <w:r w:rsidR="00831747">
        <w:rPr>
          <w:rFonts w:ascii="Garamond" w:hAnsi="Garamond"/>
          <w:i/>
          <w:iCs/>
          <w:sz w:val="22"/>
          <w:szCs w:val="20"/>
        </w:rPr>
        <w:t>slam</w:t>
      </w:r>
      <w:r w:rsidR="000E0E96" w:rsidRPr="00C365C5">
        <w:rPr>
          <w:rFonts w:ascii="Garamond" w:hAnsi="Garamond"/>
          <w:i/>
          <w:iCs/>
          <w:sz w:val="22"/>
          <w:szCs w:val="20"/>
        </w:rPr>
        <w:t xml:space="preserve"> KH</w:t>
      </w:r>
      <w:r w:rsidR="00831747">
        <w:rPr>
          <w:rFonts w:ascii="Garamond" w:hAnsi="Garamond"/>
          <w:i/>
          <w:iCs/>
          <w:sz w:val="22"/>
          <w:szCs w:val="20"/>
        </w:rPr>
        <w:t xml:space="preserve">. Abdul </w:t>
      </w:r>
      <w:proofErr w:type="spellStart"/>
      <w:r w:rsidR="00831747">
        <w:rPr>
          <w:rFonts w:ascii="Garamond" w:hAnsi="Garamond"/>
          <w:i/>
          <w:iCs/>
          <w:sz w:val="22"/>
          <w:szCs w:val="20"/>
        </w:rPr>
        <w:t>Kabier</w:t>
      </w:r>
      <w:proofErr w:type="spellEnd"/>
      <w:r w:rsidR="00831747">
        <w:rPr>
          <w:rFonts w:ascii="Garamond" w:hAnsi="Garamond"/>
          <w:i/>
          <w:iCs/>
          <w:sz w:val="22"/>
          <w:szCs w:val="20"/>
        </w:rPr>
        <w:t>-Banten</w:t>
      </w:r>
    </w:p>
    <w:p w:rsidR="000E0E96" w:rsidRPr="00C365C5" w:rsidRDefault="00C365C5" w:rsidP="00C365C5">
      <w:pPr>
        <w:shd w:val="clear" w:color="auto" w:fill="FFFFFF"/>
        <w:spacing w:after="120"/>
        <w:jc w:val="center"/>
        <w:outlineLvl w:val="2"/>
        <w:rPr>
          <w:rStyle w:val="Hyperlink"/>
          <w:rFonts w:ascii="Garamond" w:hAnsi="Garamond"/>
          <w:i/>
          <w:iCs/>
          <w:color w:val="auto"/>
          <w:sz w:val="22"/>
          <w:szCs w:val="20"/>
          <w:u w:val="none"/>
        </w:rPr>
      </w:pPr>
      <w:r w:rsidRPr="009323B6">
        <w:rPr>
          <w:rFonts w:ascii="Garamond" w:hAnsi="Garamond"/>
          <w:sz w:val="22"/>
          <w:szCs w:val="20"/>
          <w:vertAlign w:val="superscript"/>
          <w:lang w:val="id-ID"/>
        </w:rPr>
        <w:t>*</w:t>
      </w:r>
      <w:r w:rsidR="000E0E96" w:rsidRPr="00831747">
        <w:rPr>
          <w:rFonts w:ascii="Garamond" w:hAnsi="Garamond"/>
          <w:sz w:val="22"/>
          <w:szCs w:val="20"/>
        </w:rPr>
        <w:t>Corresponding Author</w:t>
      </w:r>
      <w:r w:rsidR="00831747">
        <w:rPr>
          <w:rFonts w:ascii="Garamond" w:hAnsi="Garamond"/>
          <w:sz w:val="22"/>
          <w:szCs w:val="20"/>
        </w:rPr>
        <w:t>. E-mail</w:t>
      </w:r>
      <w:r w:rsidR="00831747" w:rsidRPr="00831747">
        <w:rPr>
          <w:rFonts w:ascii="Garamond" w:hAnsi="Garamond"/>
          <w:sz w:val="22"/>
          <w:szCs w:val="20"/>
        </w:rPr>
        <w:t>:</w:t>
      </w:r>
      <w:r w:rsidR="000E0E96" w:rsidRPr="00C365C5">
        <w:rPr>
          <w:rFonts w:ascii="Garamond" w:hAnsi="Garamond"/>
          <w:sz w:val="22"/>
          <w:szCs w:val="20"/>
        </w:rPr>
        <w:t xml:space="preserve"> </w:t>
      </w:r>
      <w:hyperlink r:id="rId12" w:history="1">
        <w:r w:rsidR="000E0E96" w:rsidRPr="00C365C5">
          <w:rPr>
            <w:rStyle w:val="Hyperlink"/>
            <w:rFonts w:ascii="Garamond" w:hAnsi="Garamond"/>
            <w:i/>
            <w:iCs/>
            <w:color w:val="auto"/>
            <w:sz w:val="22"/>
            <w:szCs w:val="20"/>
            <w:u w:val="none"/>
          </w:rPr>
          <w:t>endah.robiatul@steialamar.ac.id</w:t>
        </w:r>
      </w:hyperlink>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263"/>
        <w:gridCol w:w="5103"/>
      </w:tblGrid>
      <w:tr w:rsidR="000E0E96" w:rsidRPr="00C365C5" w:rsidTr="00CB3120">
        <w:trPr>
          <w:jc w:val="center"/>
        </w:trPr>
        <w:tc>
          <w:tcPr>
            <w:tcW w:w="2005" w:type="dxa"/>
            <w:tcBorders>
              <w:left w:val="nil"/>
              <w:right w:val="nil"/>
            </w:tcBorders>
          </w:tcPr>
          <w:p w:rsidR="000E0E96" w:rsidRPr="00831747" w:rsidRDefault="000E0E96" w:rsidP="00C365C5">
            <w:pPr>
              <w:rPr>
                <w:rFonts w:ascii="Garamond" w:hAnsi="Garamond"/>
                <w:b/>
                <w:bCs/>
                <w:sz w:val="16"/>
                <w:szCs w:val="16"/>
              </w:rPr>
            </w:pPr>
            <w:r w:rsidRPr="00831747">
              <w:rPr>
                <w:rFonts w:ascii="Garamond" w:hAnsi="Garamond"/>
                <w:b/>
                <w:bCs/>
                <w:sz w:val="16"/>
                <w:szCs w:val="16"/>
              </w:rPr>
              <w:t>ARTICLE INFO</w:t>
            </w:r>
          </w:p>
        </w:tc>
        <w:tc>
          <w:tcPr>
            <w:tcW w:w="263" w:type="dxa"/>
            <w:vMerge w:val="restart"/>
            <w:tcBorders>
              <w:left w:val="nil"/>
              <w:right w:val="nil"/>
            </w:tcBorders>
          </w:tcPr>
          <w:p w:rsidR="000E0E96" w:rsidRPr="00C365C5" w:rsidRDefault="000E0E96" w:rsidP="00C365C5">
            <w:pPr>
              <w:pStyle w:val="Heading1"/>
              <w:spacing w:line="240" w:lineRule="auto"/>
              <w:rPr>
                <w:rFonts w:ascii="Garamond" w:hAnsi="Garamond"/>
                <w:sz w:val="20"/>
                <w:szCs w:val="20"/>
              </w:rPr>
            </w:pPr>
          </w:p>
        </w:tc>
        <w:tc>
          <w:tcPr>
            <w:tcW w:w="5103" w:type="dxa"/>
            <w:vMerge w:val="restart"/>
            <w:tcBorders>
              <w:left w:val="nil"/>
              <w:right w:val="nil"/>
            </w:tcBorders>
          </w:tcPr>
          <w:p w:rsidR="000E0E96" w:rsidRPr="00C365C5" w:rsidRDefault="000E0E96" w:rsidP="00C365C5">
            <w:pPr>
              <w:pStyle w:val="Heading1"/>
              <w:spacing w:after="120" w:line="240" w:lineRule="auto"/>
              <w:jc w:val="center"/>
              <w:rPr>
                <w:rFonts w:ascii="Garamond" w:hAnsi="Garamond"/>
                <w:iCs/>
                <w:sz w:val="20"/>
                <w:szCs w:val="20"/>
              </w:rPr>
            </w:pPr>
            <w:r w:rsidRPr="00C365C5">
              <w:rPr>
                <w:rFonts w:ascii="Garamond" w:hAnsi="Garamond"/>
                <w:iCs/>
                <w:sz w:val="20"/>
                <w:szCs w:val="20"/>
              </w:rPr>
              <w:t>ABSTRACT</w:t>
            </w:r>
          </w:p>
          <w:p w:rsidR="000E0E96" w:rsidRPr="00C365C5" w:rsidRDefault="000E0E96" w:rsidP="00C365C5">
            <w:pPr>
              <w:spacing w:after="120"/>
              <w:jc w:val="both"/>
              <w:rPr>
                <w:rFonts w:ascii="Garamond" w:hAnsi="Garamond"/>
                <w:iCs/>
                <w:color w:val="212121"/>
                <w:sz w:val="20"/>
                <w:szCs w:val="20"/>
                <w:shd w:val="clear" w:color="auto" w:fill="FFFFFF"/>
              </w:rPr>
            </w:pPr>
            <w:r w:rsidRPr="00C365C5">
              <w:rPr>
                <w:rFonts w:ascii="Garamond" w:hAnsi="Garamond"/>
                <w:b/>
                <w:bCs/>
                <w:iCs/>
                <w:sz w:val="20"/>
                <w:szCs w:val="20"/>
              </w:rPr>
              <w:t>Purpose</w:t>
            </w:r>
            <w:r w:rsidRPr="00C365C5">
              <w:rPr>
                <w:rFonts w:ascii="Garamond" w:hAnsi="Garamond"/>
                <w:iCs/>
                <w:sz w:val="20"/>
                <w:szCs w:val="20"/>
              </w:rPr>
              <w:t>:</w:t>
            </w:r>
            <w:r w:rsidR="00C365C5" w:rsidRPr="00C365C5">
              <w:rPr>
                <w:rFonts w:ascii="Garamond" w:hAnsi="Garamond"/>
                <w:iCs/>
                <w:sz w:val="20"/>
                <w:szCs w:val="20"/>
                <w:lang w:val="id-ID"/>
              </w:rPr>
              <w:t xml:space="preserve"> </w:t>
            </w:r>
            <w:r w:rsidRPr="00C365C5">
              <w:rPr>
                <w:rFonts w:ascii="Garamond" w:hAnsi="Garamond"/>
                <w:iCs/>
                <w:sz w:val="20"/>
                <w:szCs w:val="20"/>
              </w:rPr>
              <w:t>The Paper is</w:t>
            </w:r>
            <w:r w:rsidRPr="00C365C5">
              <w:rPr>
                <w:rFonts w:ascii="Garamond" w:hAnsi="Garamond"/>
                <w:iCs/>
                <w:color w:val="222222"/>
                <w:sz w:val="20"/>
                <w:szCs w:val="20"/>
              </w:rPr>
              <w:t xml:space="preserve"> to study the </w:t>
            </w:r>
            <w:proofErr w:type="spellStart"/>
            <w:r w:rsidRPr="00C365C5">
              <w:rPr>
                <w:rFonts w:ascii="Garamond" w:hAnsi="Garamond"/>
                <w:iCs/>
                <w:color w:val="222222"/>
                <w:sz w:val="20"/>
                <w:szCs w:val="20"/>
              </w:rPr>
              <w:t>Restukturization</w:t>
            </w:r>
            <w:proofErr w:type="spellEnd"/>
            <w:r w:rsidRPr="00C365C5">
              <w:rPr>
                <w:rFonts w:ascii="Garamond" w:hAnsi="Garamond"/>
                <w:iCs/>
                <w:color w:val="222222"/>
                <w:sz w:val="20"/>
                <w:szCs w:val="20"/>
              </w:rPr>
              <w:t xml:space="preserve"> Of Financing During The Covid-19 Pandemic: </w:t>
            </w:r>
            <w:proofErr w:type="spellStart"/>
            <w:r w:rsidRPr="00C365C5">
              <w:rPr>
                <w:rFonts w:ascii="Garamond" w:hAnsi="Garamond"/>
                <w:iCs/>
                <w:color w:val="222222"/>
                <w:sz w:val="20"/>
                <w:szCs w:val="20"/>
              </w:rPr>
              <w:t>Maqashid</w:t>
            </w:r>
            <w:proofErr w:type="spellEnd"/>
            <w:r w:rsidRPr="00C365C5">
              <w:rPr>
                <w:rFonts w:ascii="Garamond" w:hAnsi="Garamond"/>
                <w:iCs/>
                <w:color w:val="222222"/>
                <w:sz w:val="20"/>
                <w:szCs w:val="20"/>
              </w:rPr>
              <w:t xml:space="preserve"> Paradigm As-</w:t>
            </w:r>
            <w:proofErr w:type="spellStart"/>
            <w:r w:rsidRPr="00C365C5">
              <w:rPr>
                <w:rFonts w:ascii="Garamond" w:hAnsi="Garamond"/>
                <w:iCs/>
                <w:color w:val="222222"/>
                <w:sz w:val="20"/>
                <w:szCs w:val="20"/>
              </w:rPr>
              <w:t>Syar'iyah</w:t>
            </w:r>
            <w:proofErr w:type="spellEnd"/>
          </w:p>
          <w:p w:rsidR="000E0E96" w:rsidRPr="00C365C5" w:rsidRDefault="000E0E96" w:rsidP="00C365C5">
            <w:pPr>
              <w:spacing w:after="120"/>
              <w:jc w:val="both"/>
              <w:rPr>
                <w:rFonts w:ascii="Garamond" w:hAnsi="Garamond"/>
                <w:iCs/>
                <w:sz w:val="20"/>
                <w:szCs w:val="20"/>
              </w:rPr>
            </w:pPr>
            <w:r w:rsidRPr="00C365C5">
              <w:rPr>
                <w:rFonts w:ascii="Garamond" w:hAnsi="Garamond"/>
                <w:b/>
                <w:bCs/>
                <w:iCs/>
                <w:sz w:val="20"/>
                <w:szCs w:val="20"/>
              </w:rPr>
              <w:t>Design/Method/Approach</w:t>
            </w:r>
            <w:r w:rsidR="00C365C5" w:rsidRPr="00C365C5">
              <w:rPr>
                <w:rFonts w:ascii="Garamond" w:hAnsi="Garamond"/>
                <w:b/>
                <w:bCs/>
                <w:iCs/>
                <w:sz w:val="20"/>
                <w:szCs w:val="20"/>
                <w:lang w:val="id-ID"/>
              </w:rPr>
              <w:t xml:space="preserve">: </w:t>
            </w:r>
            <w:r w:rsidRPr="00C365C5">
              <w:rPr>
                <w:rFonts w:ascii="Garamond" w:hAnsi="Garamond"/>
                <w:iCs/>
                <w:sz w:val="20"/>
                <w:szCs w:val="20"/>
              </w:rPr>
              <w:t xml:space="preserve">This research uses qualitative methods with a library study approach. </w:t>
            </w:r>
            <w:r w:rsidR="00C365C5" w:rsidRPr="00C365C5">
              <w:rPr>
                <w:rFonts w:ascii="Garamond" w:hAnsi="Garamond"/>
                <w:iCs/>
                <w:sz w:val="20"/>
                <w:szCs w:val="20"/>
              </w:rPr>
              <w:t>In</w:t>
            </w:r>
            <w:r w:rsidRPr="00C365C5">
              <w:rPr>
                <w:rFonts w:ascii="Garamond" w:hAnsi="Garamond"/>
                <w:iCs/>
                <w:sz w:val="20"/>
                <w:szCs w:val="20"/>
              </w:rPr>
              <w:t xml:space="preserve"> analyzing the position of financing </w:t>
            </w:r>
            <w:proofErr w:type="spellStart"/>
            <w:r w:rsidRPr="00C365C5">
              <w:rPr>
                <w:rFonts w:ascii="Garamond" w:hAnsi="Garamond"/>
                <w:iCs/>
                <w:sz w:val="20"/>
                <w:szCs w:val="20"/>
              </w:rPr>
              <w:t>restucturization</w:t>
            </w:r>
            <w:proofErr w:type="spellEnd"/>
            <w:r w:rsidRPr="00C365C5">
              <w:rPr>
                <w:rFonts w:ascii="Garamond" w:hAnsi="Garamond"/>
                <w:iCs/>
                <w:sz w:val="20"/>
                <w:szCs w:val="20"/>
              </w:rPr>
              <w:t xml:space="preserve"> during the pandemic from the point of view of </w:t>
            </w:r>
            <w:proofErr w:type="spellStart"/>
            <w:r w:rsidRPr="00C365C5">
              <w:rPr>
                <w:rFonts w:ascii="Garamond" w:hAnsi="Garamond"/>
                <w:i/>
                <w:iCs/>
                <w:sz w:val="20"/>
                <w:szCs w:val="20"/>
              </w:rPr>
              <w:t>maqasid</w:t>
            </w:r>
            <w:proofErr w:type="spellEnd"/>
            <w:r w:rsidRPr="00C365C5">
              <w:rPr>
                <w:rFonts w:ascii="Garamond" w:hAnsi="Garamond"/>
                <w:i/>
                <w:iCs/>
                <w:sz w:val="20"/>
                <w:szCs w:val="20"/>
              </w:rPr>
              <w:t xml:space="preserve"> al-</w:t>
            </w:r>
            <w:proofErr w:type="spellStart"/>
            <w:r w:rsidRPr="00C365C5">
              <w:rPr>
                <w:rFonts w:ascii="Garamond" w:hAnsi="Garamond"/>
                <w:i/>
                <w:iCs/>
                <w:sz w:val="20"/>
                <w:szCs w:val="20"/>
              </w:rPr>
              <w:t>syar'iyah</w:t>
            </w:r>
            <w:proofErr w:type="spellEnd"/>
            <w:r w:rsidRPr="00C365C5">
              <w:rPr>
                <w:rFonts w:ascii="Garamond" w:hAnsi="Garamond"/>
                <w:iCs/>
                <w:sz w:val="20"/>
                <w:szCs w:val="20"/>
              </w:rPr>
              <w:t>.</w:t>
            </w:r>
            <w:r w:rsidR="00C365C5" w:rsidRPr="00C365C5">
              <w:rPr>
                <w:rFonts w:ascii="Garamond" w:hAnsi="Garamond"/>
                <w:iCs/>
                <w:sz w:val="20"/>
                <w:szCs w:val="20"/>
                <w:lang w:val="id-ID"/>
              </w:rPr>
              <w:t xml:space="preserve"> </w:t>
            </w:r>
            <w:r w:rsidRPr="00C365C5">
              <w:rPr>
                <w:rFonts w:ascii="Garamond" w:hAnsi="Garamond"/>
                <w:iCs/>
                <w:sz w:val="20"/>
                <w:szCs w:val="20"/>
              </w:rPr>
              <w:t>The instruments used in research are observations and documentation of the sources of books, books, journals, and ot</w:t>
            </w:r>
            <w:r w:rsidR="00C365C5">
              <w:rPr>
                <w:rFonts w:ascii="Garamond" w:hAnsi="Garamond"/>
                <w:iCs/>
                <w:sz w:val="20"/>
                <w:szCs w:val="20"/>
              </w:rPr>
              <w:t>her sources related to</w:t>
            </w:r>
            <w:r w:rsidR="00C365C5">
              <w:rPr>
                <w:rFonts w:ascii="Garamond" w:hAnsi="Garamond"/>
                <w:iCs/>
                <w:sz w:val="20"/>
                <w:szCs w:val="20"/>
                <w:lang w:val="id-ID"/>
              </w:rPr>
              <w:t xml:space="preserve"> </w:t>
            </w:r>
            <w:r w:rsidRPr="00C365C5">
              <w:rPr>
                <w:rFonts w:ascii="Garamond" w:hAnsi="Garamond"/>
                <w:iCs/>
                <w:sz w:val="20"/>
                <w:szCs w:val="20"/>
              </w:rPr>
              <w:t>them. The collected data is analyzed with reduction stages, catalytic unit displays, verified and concluded</w:t>
            </w:r>
          </w:p>
          <w:p w:rsidR="000E0E96" w:rsidRPr="00C365C5" w:rsidRDefault="000E0E96" w:rsidP="00C365C5">
            <w:pPr>
              <w:spacing w:after="120"/>
              <w:jc w:val="both"/>
              <w:rPr>
                <w:rFonts w:ascii="Garamond" w:hAnsi="Garamond"/>
                <w:sz w:val="20"/>
                <w:szCs w:val="20"/>
              </w:rPr>
            </w:pPr>
            <w:r w:rsidRPr="00C365C5">
              <w:rPr>
                <w:rFonts w:ascii="Garamond" w:hAnsi="Garamond"/>
                <w:b/>
                <w:bCs/>
                <w:iCs/>
                <w:sz w:val="20"/>
                <w:szCs w:val="20"/>
              </w:rPr>
              <w:t>Findings:</w:t>
            </w:r>
            <w:r w:rsidR="00C365C5">
              <w:rPr>
                <w:rFonts w:ascii="Garamond" w:hAnsi="Garamond"/>
                <w:b/>
                <w:bCs/>
                <w:iCs/>
                <w:sz w:val="20"/>
                <w:szCs w:val="20"/>
                <w:lang w:val="id-ID"/>
              </w:rPr>
              <w:t xml:space="preserve"> </w:t>
            </w:r>
            <w:r w:rsidRPr="00C365C5">
              <w:rPr>
                <w:rFonts w:ascii="Garamond" w:hAnsi="Garamond"/>
                <w:iCs/>
                <w:sz w:val="20"/>
                <w:szCs w:val="20"/>
              </w:rPr>
              <w:t xml:space="preserve">The discussion is considered important because by digging from the point of view of </w:t>
            </w:r>
            <w:r w:rsidRPr="00C365C5">
              <w:rPr>
                <w:rFonts w:ascii="Garamond" w:hAnsi="Garamond"/>
                <w:i/>
                <w:iCs/>
                <w:sz w:val="20"/>
                <w:szCs w:val="20"/>
              </w:rPr>
              <w:t>muamalah</w:t>
            </w:r>
            <w:r w:rsidRPr="00C365C5">
              <w:rPr>
                <w:rFonts w:ascii="Garamond" w:hAnsi="Garamond"/>
                <w:iCs/>
                <w:sz w:val="20"/>
                <w:szCs w:val="20"/>
              </w:rPr>
              <w:t xml:space="preserve"> fight in terms of </w:t>
            </w:r>
            <w:proofErr w:type="spellStart"/>
            <w:r w:rsidRPr="00C365C5">
              <w:rPr>
                <w:rFonts w:ascii="Garamond" w:hAnsi="Garamond"/>
                <w:i/>
                <w:iCs/>
                <w:sz w:val="20"/>
                <w:szCs w:val="20"/>
              </w:rPr>
              <w:t>Magashid</w:t>
            </w:r>
            <w:proofErr w:type="spellEnd"/>
            <w:r w:rsidR="00C365C5" w:rsidRPr="00C365C5">
              <w:rPr>
                <w:rFonts w:ascii="Garamond" w:hAnsi="Garamond"/>
                <w:i/>
                <w:iCs/>
                <w:sz w:val="20"/>
                <w:szCs w:val="20"/>
                <w:lang w:val="id-ID"/>
              </w:rPr>
              <w:t xml:space="preserve"> </w:t>
            </w:r>
            <w:proofErr w:type="spellStart"/>
            <w:r w:rsidRPr="00C365C5">
              <w:rPr>
                <w:rFonts w:ascii="Garamond" w:hAnsi="Garamond"/>
                <w:i/>
                <w:iCs/>
                <w:sz w:val="20"/>
                <w:szCs w:val="20"/>
              </w:rPr>
              <w:t>Syari’ah</w:t>
            </w:r>
            <w:proofErr w:type="spellEnd"/>
            <w:r w:rsidRPr="00C365C5">
              <w:rPr>
                <w:rFonts w:ascii="Garamond" w:hAnsi="Garamond"/>
                <w:iCs/>
                <w:sz w:val="20"/>
                <w:szCs w:val="20"/>
              </w:rPr>
              <w:t xml:space="preserve"> so that the discussion specifically becomes the first two discussions </w:t>
            </w:r>
          </w:p>
          <w:p w:rsidR="000E0E96" w:rsidRPr="00C365C5" w:rsidRDefault="000E0E96" w:rsidP="00C365C5">
            <w:pPr>
              <w:spacing w:after="120"/>
              <w:jc w:val="both"/>
              <w:rPr>
                <w:rFonts w:ascii="Garamond" w:hAnsi="Garamond"/>
                <w:sz w:val="20"/>
                <w:szCs w:val="20"/>
                <w:lang w:val="id-ID"/>
              </w:rPr>
            </w:pPr>
            <w:r w:rsidRPr="00C365C5">
              <w:rPr>
                <w:rFonts w:ascii="Garamond" w:hAnsi="Garamond"/>
                <w:b/>
                <w:bCs/>
                <w:iCs/>
                <w:sz w:val="20"/>
                <w:szCs w:val="20"/>
              </w:rPr>
              <w:t>Originality/Values</w:t>
            </w:r>
            <w:r w:rsidRPr="00C365C5">
              <w:rPr>
                <w:rFonts w:ascii="Garamond" w:hAnsi="Garamond"/>
                <w:iCs/>
                <w:sz w:val="20"/>
                <w:szCs w:val="20"/>
              </w:rPr>
              <w:t xml:space="preserve">: The results of the study showed first the causes and reasons for implementing the decision to limit financing with </w:t>
            </w:r>
            <w:proofErr w:type="spellStart"/>
            <w:r w:rsidRPr="00C365C5">
              <w:rPr>
                <w:rFonts w:ascii="Garamond" w:hAnsi="Garamond"/>
                <w:i/>
                <w:iCs/>
                <w:sz w:val="20"/>
                <w:szCs w:val="20"/>
              </w:rPr>
              <w:t>Magashid</w:t>
            </w:r>
            <w:proofErr w:type="spellEnd"/>
            <w:r w:rsidR="00C365C5" w:rsidRPr="00C365C5">
              <w:rPr>
                <w:rFonts w:ascii="Garamond" w:hAnsi="Garamond"/>
                <w:i/>
                <w:iCs/>
                <w:sz w:val="20"/>
                <w:szCs w:val="20"/>
                <w:lang w:val="id-ID"/>
              </w:rPr>
              <w:t xml:space="preserve"> </w:t>
            </w:r>
            <w:proofErr w:type="spellStart"/>
            <w:r w:rsidRPr="00C365C5">
              <w:rPr>
                <w:rFonts w:ascii="Garamond" w:hAnsi="Garamond"/>
                <w:i/>
                <w:iCs/>
                <w:sz w:val="20"/>
                <w:szCs w:val="20"/>
              </w:rPr>
              <w:t>Shari'ah</w:t>
            </w:r>
            <w:proofErr w:type="spellEnd"/>
            <w:r w:rsidRPr="00C365C5">
              <w:rPr>
                <w:rFonts w:ascii="Garamond" w:hAnsi="Garamond"/>
                <w:iCs/>
                <w:sz w:val="20"/>
                <w:szCs w:val="20"/>
              </w:rPr>
              <w:t xml:space="preserve">, a paradigm developed through mitigating financing risks and the </w:t>
            </w:r>
            <w:proofErr w:type="spellStart"/>
            <w:r w:rsidRPr="00C365C5">
              <w:rPr>
                <w:rFonts w:ascii="Garamond" w:hAnsi="Garamond"/>
                <w:i/>
                <w:iCs/>
                <w:sz w:val="20"/>
                <w:szCs w:val="20"/>
              </w:rPr>
              <w:t>Magashid</w:t>
            </w:r>
            <w:proofErr w:type="spellEnd"/>
            <w:r w:rsidRPr="00C365C5">
              <w:rPr>
                <w:rFonts w:ascii="Garamond" w:hAnsi="Garamond"/>
                <w:i/>
                <w:iCs/>
                <w:sz w:val="20"/>
                <w:szCs w:val="20"/>
              </w:rPr>
              <w:t xml:space="preserve"> As-</w:t>
            </w:r>
            <w:proofErr w:type="spellStart"/>
            <w:r w:rsidRPr="00C365C5">
              <w:rPr>
                <w:rFonts w:ascii="Garamond" w:hAnsi="Garamond"/>
                <w:i/>
                <w:iCs/>
                <w:sz w:val="20"/>
                <w:szCs w:val="20"/>
              </w:rPr>
              <w:t>Shari'ah</w:t>
            </w:r>
            <w:proofErr w:type="spellEnd"/>
            <w:r w:rsidRPr="00C365C5">
              <w:rPr>
                <w:rFonts w:ascii="Garamond" w:hAnsi="Garamond"/>
                <w:iCs/>
                <w:sz w:val="20"/>
                <w:szCs w:val="20"/>
              </w:rPr>
              <w:t xml:space="preserve"> paradigm in legal protection based on the benefits that should </w:t>
            </w:r>
            <w:proofErr w:type="spellStart"/>
            <w:r w:rsidRPr="00C365C5">
              <w:rPr>
                <w:rFonts w:ascii="Garamond" w:hAnsi="Garamond"/>
                <w:iCs/>
                <w:sz w:val="20"/>
                <w:szCs w:val="20"/>
              </w:rPr>
              <w:t>beiyyat</w:t>
            </w:r>
            <w:proofErr w:type="spellEnd"/>
            <w:r w:rsidRPr="00C365C5">
              <w:rPr>
                <w:rFonts w:ascii="Garamond" w:hAnsi="Garamond"/>
                <w:iCs/>
                <w:sz w:val="20"/>
                <w:szCs w:val="20"/>
              </w:rPr>
              <w:t xml:space="preserve"> [primary needs]</w:t>
            </w:r>
            <w:r w:rsidR="00C365C5">
              <w:rPr>
                <w:rFonts w:ascii="Garamond" w:hAnsi="Garamond"/>
                <w:iCs/>
                <w:sz w:val="20"/>
                <w:szCs w:val="20"/>
                <w:lang w:val="id-ID"/>
              </w:rPr>
              <w:t>.</w:t>
            </w:r>
          </w:p>
        </w:tc>
      </w:tr>
      <w:tr w:rsidR="000E0E96" w:rsidRPr="00C365C5" w:rsidTr="00CB3120">
        <w:trPr>
          <w:jc w:val="center"/>
        </w:trPr>
        <w:tc>
          <w:tcPr>
            <w:tcW w:w="2005" w:type="dxa"/>
            <w:tcBorders>
              <w:left w:val="nil"/>
              <w:right w:val="nil"/>
            </w:tcBorders>
          </w:tcPr>
          <w:p w:rsidR="000E0E96" w:rsidRPr="00831747" w:rsidRDefault="000E0E96" w:rsidP="00831747">
            <w:pPr>
              <w:spacing w:before="120"/>
              <w:rPr>
                <w:rFonts w:ascii="Garamond" w:hAnsi="Garamond"/>
                <w:b/>
                <w:iCs/>
                <w:sz w:val="16"/>
                <w:szCs w:val="16"/>
              </w:rPr>
            </w:pPr>
            <w:r w:rsidRPr="00831747">
              <w:rPr>
                <w:rFonts w:ascii="Garamond" w:hAnsi="Garamond"/>
                <w:b/>
                <w:iCs/>
                <w:sz w:val="16"/>
                <w:szCs w:val="16"/>
              </w:rPr>
              <w:t>Article History:</w:t>
            </w:r>
          </w:p>
          <w:p w:rsidR="000E0E96" w:rsidRPr="00831747" w:rsidRDefault="000E0E96" w:rsidP="00C365C5">
            <w:pPr>
              <w:rPr>
                <w:rFonts w:ascii="Garamond" w:hAnsi="Garamond"/>
                <w:sz w:val="16"/>
                <w:szCs w:val="16"/>
              </w:rPr>
            </w:pPr>
            <w:r w:rsidRPr="00831747">
              <w:rPr>
                <w:rFonts w:ascii="Garamond" w:hAnsi="Garamond"/>
                <w:sz w:val="16"/>
                <w:szCs w:val="16"/>
              </w:rPr>
              <w:t>Received: 2022-03-31</w:t>
            </w:r>
          </w:p>
          <w:p w:rsidR="000E0E96" w:rsidRPr="00831747" w:rsidRDefault="000E0E96" w:rsidP="00C365C5">
            <w:pPr>
              <w:rPr>
                <w:rFonts w:ascii="Garamond" w:hAnsi="Garamond"/>
                <w:sz w:val="16"/>
                <w:szCs w:val="16"/>
              </w:rPr>
            </w:pPr>
            <w:r w:rsidRPr="00831747">
              <w:rPr>
                <w:rFonts w:ascii="Garamond" w:hAnsi="Garamond"/>
                <w:sz w:val="16"/>
                <w:szCs w:val="16"/>
              </w:rPr>
              <w:t>Revised: 2022-04-21</w:t>
            </w:r>
          </w:p>
          <w:p w:rsidR="000E0E96" w:rsidRPr="00831747" w:rsidRDefault="000E0E96" w:rsidP="00831747">
            <w:pPr>
              <w:spacing w:after="120"/>
              <w:rPr>
                <w:rFonts w:ascii="Garamond" w:hAnsi="Garamond"/>
                <w:sz w:val="16"/>
                <w:szCs w:val="16"/>
              </w:rPr>
            </w:pPr>
            <w:r w:rsidRPr="00831747">
              <w:rPr>
                <w:rFonts w:ascii="Garamond" w:hAnsi="Garamond"/>
                <w:sz w:val="16"/>
                <w:szCs w:val="16"/>
              </w:rPr>
              <w:t>Accepted: 2022-05-20</w:t>
            </w:r>
          </w:p>
        </w:tc>
        <w:tc>
          <w:tcPr>
            <w:tcW w:w="263" w:type="dxa"/>
            <w:vMerge/>
            <w:tcBorders>
              <w:left w:val="nil"/>
              <w:right w:val="nil"/>
            </w:tcBorders>
          </w:tcPr>
          <w:p w:rsidR="000E0E96" w:rsidRPr="00C365C5" w:rsidRDefault="000E0E96" w:rsidP="00C365C5">
            <w:pPr>
              <w:rPr>
                <w:rFonts w:ascii="Garamond" w:hAnsi="Garamond"/>
                <w:sz w:val="20"/>
                <w:szCs w:val="20"/>
              </w:rPr>
            </w:pPr>
          </w:p>
        </w:tc>
        <w:tc>
          <w:tcPr>
            <w:tcW w:w="5103" w:type="dxa"/>
            <w:vMerge/>
            <w:tcBorders>
              <w:left w:val="nil"/>
              <w:right w:val="nil"/>
            </w:tcBorders>
          </w:tcPr>
          <w:p w:rsidR="000E0E96" w:rsidRPr="00C365C5" w:rsidRDefault="000E0E96" w:rsidP="00C365C5">
            <w:pPr>
              <w:rPr>
                <w:rFonts w:ascii="Garamond" w:hAnsi="Garamond"/>
                <w:sz w:val="20"/>
                <w:szCs w:val="20"/>
              </w:rPr>
            </w:pPr>
          </w:p>
        </w:tc>
      </w:tr>
      <w:tr w:rsidR="000E0E96" w:rsidRPr="00C365C5" w:rsidTr="00CB3120">
        <w:trPr>
          <w:jc w:val="center"/>
        </w:trPr>
        <w:tc>
          <w:tcPr>
            <w:tcW w:w="2005" w:type="dxa"/>
            <w:tcBorders>
              <w:left w:val="nil"/>
              <w:right w:val="nil"/>
            </w:tcBorders>
          </w:tcPr>
          <w:p w:rsidR="00C365C5" w:rsidRPr="00831747" w:rsidRDefault="000E0E96" w:rsidP="00831747">
            <w:pPr>
              <w:spacing w:before="120"/>
              <w:rPr>
                <w:rFonts w:ascii="Garamond" w:hAnsi="Garamond"/>
                <w:b/>
                <w:iCs/>
                <w:sz w:val="16"/>
                <w:szCs w:val="16"/>
                <w:lang w:val="id-ID"/>
              </w:rPr>
            </w:pPr>
            <w:r w:rsidRPr="00831747">
              <w:rPr>
                <w:rFonts w:ascii="Garamond" w:hAnsi="Garamond"/>
                <w:b/>
                <w:iCs/>
                <w:sz w:val="16"/>
                <w:szCs w:val="16"/>
              </w:rPr>
              <w:t>Keywords:</w:t>
            </w:r>
          </w:p>
          <w:p w:rsidR="00C46A79" w:rsidRDefault="00831747" w:rsidP="00C46A79">
            <w:pPr>
              <w:rPr>
                <w:rFonts w:ascii="Garamond" w:hAnsi="Garamond"/>
                <w:sz w:val="16"/>
                <w:szCs w:val="16"/>
              </w:rPr>
            </w:pPr>
            <w:r w:rsidRPr="00831747">
              <w:rPr>
                <w:rFonts w:ascii="Garamond" w:hAnsi="Garamond"/>
                <w:sz w:val="16"/>
                <w:szCs w:val="16"/>
              </w:rPr>
              <w:t>Problematic Financing</w:t>
            </w:r>
            <w:r w:rsidR="00C46A79">
              <w:rPr>
                <w:rFonts w:ascii="Garamond" w:hAnsi="Garamond"/>
                <w:sz w:val="16"/>
                <w:szCs w:val="16"/>
              </w:rPr>
              <w:t>;</w:t>
            </w:r>
          </w:p>
          <w:p w:rsidR="00C46A79" w:rsidRDefault="00C46A79" w:rsidP="00C46A79">
            <w:pPr>
              <w:rPr>
                <w:rFonts w:ascii="Garamond" w:hAnsi="Garamond"/>
                <w:sz w:val="16"/>
                <w:szCs w:val="16"/>
              </w:rPr>
            </w:pPr>
            <w:r>
              <w:rPr>
                <w:rFonts w:ascii="Garamond" w:hAnsi="Garamond"/>
                <w:sz w:val="16"/>
                <w:szCs w:val="16"/>
              </w:rPr>
              <w:t>Covid-19 Pandemic;</w:t>
            </w:r>
          </w:p>
          <w:p w:rsidR="00C46A79" w:rsidRPr="00C46A79" w:rsidRDefault="00831747" w:rsidP="00C46A79">
            <w:pPr>
              <w:rPr>
                <w:rFonts w:ascii="Garamond" w:hAnsi="Garamond"/>
                <w:i/>
                <w:iCs/>
                <w:sz w:val="16"/>
                <w:szCs w:val="16"/>
              </w:rPr>
            </w:pPr>
            <w:proofErr w:type="spellStart"/>
            <w:r w:rsidRPr="00C46A79">
              <w:rPr>
                <w:rFonts w:ascii="Garamond" w:hAnsi="Garamond"/>
                <w:i/>
                <w:iCs/>
                <w:sz w:val="16"/>
                <w:szCs w:val="16"/>
              </w:rPr>
              <w:t>Hafidz</w:t>
            </w:r>
            <w:proofErr w:type="spellEnd"/>
            <w:r w:rsidRPr="00C46A79">
              <w:rPr>
                <w:rFonts w:ascii="Garamond" w:hAnsi="Garamond"/>
                <w:i/>
                <w:iCs/>
                <w:sz w:val="16"/>
                <w:szCs w:val="16"/>
              </w:rPr>
              <w:t xml:space="preserve"> Al-</w:t>
            </w:r>
            <w:proofErr w:type="spellStart"/>
            <w:r w:rsidRPr="00C46A79">
              <w:rPr>
                <w:rFonts w:ascii="Garamond" w:hAnsi="Garamond"/>
                <w:i/>
                <w:iCs/>
                <w:sz w:val="16"/>
                <w:szCs w:val="16"/>
              </w:rPr>
              <w:t>Maal</w:t>
            </w:r>
            <w:proofErr w:type="spellEnd"/>
            <w:r w:rsidR="00C46A79" w:rsidRPr="00C46A79">
              <w:rPr>
                <w:rFonts w:ascii="Garamond" w:hAnsi="Garamond"/>
                <w:i/>
                <w:iCs/>
                <w:sz w:val="16"/>
                <w:szCs w:val="16"/>
              </w:rPr>
              <w:t>;</w:t>
            </w:r>
          </w:p>
          <w:p w:rsidR="000E0E96" w:rsidRPr="00831747" w:rsidRDefault="00831747" w:rsidP="00C46A79">
            <w:pPr>
              <w:spacing w:after="120"/>
              <w:rPr>
                <w:rFonts w:ascii="Garamond" w:hAnsi="Garamond"/>
                <w:sz w:val="16"/>
                <w:szCs w:val="16"/>
                <w:lang w:val="en-ID"/>
              </w:rPr>
            </w:pPr>
            <w:proofErr w:type="spellStart"/>
            <w:r w:rsidRPr="00C46A79">
              <w:rPr>
                <w:rFonts w:ascii="Garamond" w:hAnsi="Garamond"/>
                <w:i/>
                <w:iCs/>
                <w:sz w:val="16"/>
                <w:szCs w:val="16"/>
              </w:rPr>
              <w:t>Hifdz</w:t>
            </w:r>
            <w:proofErr w:type="spellEnd"/>
            <w:r w:rsidRPr="00C46A79">
              <w:rPr>
                <w:rFonts w:ascii="Garamond" w:hAnsi="Garamond"/>
                <w:i/>
                <w:iCs/>
                <w:sz w:val="16"/>
                <w:szCs w:val="16"/>
              </w:rPr>
              <w:t xml:space="preserve"> Al-</w:t>
            </w:r>
            <w:proofErr w:type="spellStart"/>
            <w:r w:rsidRPr="00C46A79">
              <w:rPr>
                <w:rFonts w:ascii="Garamond" w:hAnsi="Garamond"/>
                <w:i/>
                <w:iCs/>
                <w:sz w:val="16"/>
                <w:szCs w:val="16"/>
              </w:rPr>
              <w:t>Nafs</w:t>
            </w:r>
            <w:proofErr w:type="spellEnd"/>
          </w:p>
        </w:tc>
        <w:tc>
          <w:tcPr>
            <w:tcW w:w="263" w:type="dxa"/>
            <w:vMerge/>
            <w:tcBorders>
              <w:left w:val="nil"/>
              <w:right w:val="nil"/>
            </w:tcBorders>
          </w:tcPr>
          <w:p w:rsidR="000E0E96" w:rsidRPr="00C365C5" w:rsidRDefault="000E0E96" w:rsidP="00C365C5">
            <w:pPr>
              <w:rPr>
                <w:rFonts w:ascii="Garamond" w:hAnsi="Garamond"/>
                <w:sz w:val="20"/>
                <w:szCs w:val="20"/>
              </w:rPr>
            </w:pPr>
          </w:p>
        </w:tc>
        <w:tc>
          <w:tcPr>
            <w:tcW w:w="5103" w:type="dxa"/>
            <w:vMerge/>
            <w:tcBorders>
              <w:left w:val="nil"/>
              <w:right w:val="nil"/>
            </w:tcBorders>
          </w:tcPr>
          <w:p w:rsidR="000E0E96" w:rsidRPr="00C365C5" w:rsidRDefault="000E0E96" w:rsidP="00C365C5">
            <w:pPr>
              <w:rPr>
                <w:rFonts w:ascii="Garamond" w:hAnsi="Garamond"/>
                <w:sz w:val="20"/>
                <w:szCs w:val="20"/>
              </w:rPr>
            </w:pPr>
          </w:p>
        </w:tc>
      </w:tr>
      <w:tr w:rsidR="000E0E96" w:rsidRPr="00C365C5" w:rsidTr="00CB3120">
        <w:trPr>
          <w:jc w:val="center"/>
        </w:trPr>
        <w:tc>
          <w:tcPr>
            <w:tcW w:w="2005" w:type="dxa"/>
            <w:tcBorders>
              <w:left w:val="nil"/>
              <w:right w:val="nil"/>
            </w:tcBorders>
          </w:tcPr>
          <w:p w:rsidR="000E0E96" w:rsidRPr="00831747" w:rsidRDefault="000E0E96" w:rsidP="00831747">
            <w:pPr>
              <w:tabs>
                <w:tab w:val="left" w:pos="1418"/>
                <w:tab w:val="left" w:pos="1701"/>
              </w:tabs>
              <w:spacing w:before="120"/>
              <w:jc w:val="both"/>
              <w:rPr>
                <w:rFonts w:ascii="Garamond" w:hAnsi="Garamond"/>
                <w:b/>
                <w:iCs/>
                <w:sz w:val="16"/>
                <w:szCs w:val="16"/>
              </w:rPr>
            </w:pPr>
            <w:r w:rsidRPr="00831747">
              <w:rPr>
                <w:rFonts w:ascii="Garamond" w:hAnsi="Garamond"/>
                <w:b/>
                <w:iCs/>
                <w:sz w:val="16"/>
                <w:szCs w:val="16"/>
              </w:rPr>
              <w:t xml:space="preserve">Paper Type: </w:t>
            </w:r>
          </w:p>
          <w:p w:rsidR="000E0E96" w:rsidRPr="00831747" w:rsidRDefault="000E0E96" w:rsidP="00C365C5">
            <w:pPr>
              <w:tabs>
                <w:tab w:val="left" w:pos="1418"/>
                <w:tab w:val="left" w:pos="1701"/>
              </w:tabs>
              <w:jc w:val="both"/>
              <w:rPr>
                <w:rFonts w:ascii="Garamond" w:hAnsi="Garamond"/>
                <w:sz w:val="16"/>
                <w:szCs w:val="16"/>
              </w:rPr>
            </w:pPr>
            <w:r w:rsidRPr="00831747">
              <w:rPr>
                <w:rFonts w:ascii="Garamond" w:hAnsi="Garamond"/>
                <w:sz w:val="16"/>
                <w:szCs w:val="16"/>
              </w:rPr>
              <w:t>Research Paper</w:t>
            </w:r>
          </w:p>
          <w:p w:rsidR="000E0E96" w:rsidRPr="00831747" w:rsidRDefault="000E0E96" w:rsidP="00C365C5">
            <w:pPr>
              <w:rPr>
                <w:rFonts w:ascii="Garamond" w:hAnsi="Garamond"/>
                <w:i/>
                <w:iCs/>
                <w:sz w:val="16"/>
                <w:szCs w:val="16"/>
              </w:rPr>
            </w:pPr>
          </w:p>
        </w:tc>
        <w:tc>
          <w:tcPr>
            <w:tcW w:w="263" w:type="dxa"/>
            <w:vMerge/>
            <w:tcBorders>
              <w:left w:val="nil"/>
              <w:right w:val="nil"/>
            </w:tcBorders>
          </w:tcPr>
          <w:p w:rsidR="000E0E96" w:rsidRPr="00C365C5" w:rsidRDefault="000E0E96" w:rsidP="00C365C5">
            <w:pPr>
              <w:rPr>
                <w:rFonts w:ascii="Garamond" w:hAnsi="Garamond"/>
                <w:sz w:val="20"/>
                <w:szCs w:val="20"/>
              </w:rPr>
            </w:pPr>
          </w:p>
        </w:tc>
        <w:tc>
          <w:tcPr>
            <w:tcW w:w="5103" w:type="dxa"/>
            <w:vMerge/>
            <w:tcBorders>
              <w:left w:val="nil"/>
              <w:right w:val="nil"/>
            </w:tcBorders>
          </w:tcPr>
          <w:p w:rsidR="000E0E96" w:rsidRPr="00C365C5" w:rsidRDefault="000E0E96" w:rsidP="00C365C5">
            <w:pPr>
              <w:rPr>
                <w:rFonts w:ascii="Garamond" w:hAnsi="Garamond"/>
                <w:sz w:val="20"/>
                <w:szCs w:val="20"/>
              </w:rPr>
            </w:pPr>
          </w:p>
        </w:tc>
      </w:tr>
    </w:tbl>
    <w:p w:rsidR="000E0E96" w:rsidRPr="00C365C5" w:rsidRDefault="000E0E96" w:rsidP="00C365C5">
      <w:pPr>
        <w:pStyle w:val="Body"/>
        <w:spacing w:line="240" w:lineRule="auto"/>
        <w:rPr>
          <w:rFonts w:ascii="Garamond" w:hAnsi="Garamond"/>
          <w:color w:val="000000"/>
          <w:szCs w:val="24"/>
        </w:rPr>
      </w:pPr>
    </w:p>
    <w:p w:rsidR="000E0E96" w:rsidRPr="00C365C5" w:rsidRDefault="000E0E96" w:rsidP="00C365C5">
      <w:pPr>
        <w:pStyle w:val="Body"/>
        <w:spacing w:line="240" w:lineRule="auto"/>
        <w:rPr>
          <w:rFonts w:ascii="Garamond" w:hAnsi="Garamond"/>
          <w:color w:val="000000"/>
          <w:szCs w:val="24"/>
        </w:rPr>
      </w:pPr>
    </w:p>
    <w:p w:rsidR="000E0E96" w:rsidRPr="003B7CB5" w:rsidRDefault="00C365C5" w:rsidP="003B7CB5">
      <w:pPr>
        <w:pStyle w:val="NoSpacing"/>
        <w:spacing w:after="120"/>
        <w:ind w:left="0"/>
        <w:jc w:val="both"/>
        <w:rPr>
          <w:rFonts w:ascii="Garamond" w:hAnsi="Garamond"/>
          <w:b/>
          <w:color w:val="000000"/>
          <w:sz w:val="24"/>
          <w:szCs w:val="24"/>
        </w:rPr>
      </w:pPr>
      <w:r>
        <w:rPr>
          <w:color w:val="000000"/>
        </w:rPr>
        <w:br w:type="page"/>
      </w:r>
      <w:r w:rsidRPr="003B7CB5">
        <w:rPr>
          <w:rFonts w:ascii="Garamond" w:hAnsi="Garamond"/>
          <w:b/>
          <w:sz w:val="24"/>
          <w:szCs w:val="24"/>
        </w:rPr>
        <w:lastRenderedPageBreak/>
        <w:t>INTRODUCTION</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The Covid-19 pandemic that occurred in the world gave birth and left various problems, short-term and long-term problems were felt in all sectors. Today the Covid-19 pandemic has become an important issue for countries in the world, including Indonesia. This condition can be identified from the fa</w:t>
      </w:r>
      <w:r w:rsidR="00CB3120" w:rsidRPr="003B7CB5">
        <w:rPr>
          <w:rFonts w:ascii="Garamond" w:hAnsi="Garamond"/>
          <w:sz w:val="24"/>
          <w:szCs w:val="24"/>
        </w:rPr>
        <w:t xml:space="preserve">ct that the impact of the </w:t>
      </w:r>
      <w:proofErr w:type="spellStart"/>
      <w:r w:rsidR="00CB3120" w:rsidRPr="003B7CB5">
        <w:rPr>
          <w:rFonts w:ascii="Garamond" w:hAnsi="Garamond"/>
          <w:sz w:val="24"/>
          <w:szCs w:val="24"/>
        </w:rPr>
        <w:t>Covid</w:t>
      </w:r>
      <w:proofErr w:type="spellEnd"/>
      <w:r w:rsidR="00CB3120" w:rsidRPr="003B7CB5">
        <w:rPr>
          <w:rFonts w:ascii="Garamond" w:hAnsi="Garamond"/>
          <w:sz w:val="24"/>
          <w:szCs w:val="24"/>
          <w:lang w:val="id-ID"/>
        </w:rPr>
        <w:t>-</w:t>
      </w:r>
      <w:r w:rsidRPr="003B7CB5">
        <w:rPr>
          <w:rFonts w:ascii="Garamond" w:hAnsi="Garamond"/>
          <w:sz w:val="24"/>
          <w:szCs w:val="24"/>
        </w:rPr>
        <w:t xml:space="preserve">19 pandemics with the lockdown policy and the implementation of the PSBB will not only have an impact on health but all sectors are affected, including economics problems, this is also expressed by </w:t>
      </w:r>
      <w:r w:rsidRPr="003B7CB5">
        <w:rPr>
          <w:rFonts w:ascii="Garamond" w:hAnsi="Garamond"/>
          <w:noProof/>
          <w:sz w:val="24"/>
          <w:szCs w:val="24"/>
        </w:rPr>
        <w:t>Deepak Varshney</w:t>
      </w:r>
      <w:r w:rsidRPr="003B7CB5">
        <w:rPr>
          <w:rStyle w:val="FootnoteReference"/>
          <w:rFonts w:ascii="Garamond" w:hAnsi="Garamond"/>
          <w:sz w:val="24"/>
          <w:szCs w:val="24"/>
          <w:lang w:val="id-ID"/>
        </w:rPr>
        <w:footnoteReference w:id="1"/>
      </w:r>
      <w:r w:rsidRPr="003B7CB5">
        <w:rPr>
          <w:rFonts w:ascii="Garamond" w:hAnsi="Garamond"/>
          <w:sz w:val="24"/>
          <w:szCs w:val="24"/>
          <w:lang w:val="id-ID"/>
        </w:rPr>
        <w:t xml:space="preserve">, </w:t>
      </w:r>
      <w:r w:rsidRPr="003B7CB5">
        <w:rPr>
          <w:rFonts w:ascii="Garamond" w:hAnsi="Garamond"/>
          <w:noProof/>
          <w:sz w:val="24"/>
          <w:szCs w:val="24"/>
        </w:rPr>
        <w:t>Chrispin Matenga</w:t>
      </w:r>
      <w:r w:rsidRPr="003B7CB5">
        <w:rPr>
          <w:rStyle w:val="FootnoteReference"/>
          <w:rFonts w:ascii="Garamond" w:hAnsi="Garamond"/>
          <w:sz w:val="24"/>
          <w:szCs w:val="24"/>
        </w:rPr>
        <w:footnoteReference w:id="2"/>
      </w:r>
      <w:r w:rsidRPr="003B7CB5">
        <w:rPr>
          <w:rFonts w:ascii="Garamond" w:hAnsi="Garamond"/>
          <w:sz w:val="24"/>
          <w:szCs w:val="24"/>
        </w:rPr>
        <w:t>also reveals that a series of problems will have short-term and long –term implications for economic development. In the first quarter of 2020 economic growth in several of Indonesia's trading partner countries grew n</w:t>
      </w:r>
      <w:r w:rsidR="00CB3120" w:rsidRPr="003B7CB5">
        <w:rPr>
          <w:rFonts w:ascii="Garamond" w:hAnsi="Garamond"/>
          <w:sz w:val="24"/>
          <w:szCs w:val="24"/>
        </w:rPr>
        <w:t>egatively: Singapore -2.2, Hong</w:t>
      </w:r>
      <w:r w:rsidRPr="003B7CB5">
        <w:rPr>
          <w:rFonts w:ascii="Garamond" w:hAnsi="Garamond"/>
          <w:sz w:val="24"/>
          <w:szCs w:val="24"/>
        </w:rPr>
        <w:t>kong -8.9, the European Union -2.7, and China decreased to minus 6.8</w:t>
      </w:r>
      <w:r w:rsidRPr="003B7CB5">
        <w:rPr>
          <w:rFonts w:ascii="Garamond" w:hAnsi="Garamond"/>
          <w:sz w:val="24"/>
          <w:szCs w:val="24"/>
          <w:lang w:val="id-ID"/>
        </w:rPr>
        <w:t>.</w:t>
      </w:r>
      <w:r w:rsidRPr="003B7CB5">
        <w:rPr>
          <w:rStyle w:val="FootnoteReference"/>
          <w:rFonts w:ascii="Garamond" w:hAnsi="Garamond"/>
          <w:sz w:val="24"/>
          <w:szCs w:val="24"/>
          <w:lang w:val="id-ID"/>
        </w:rPr>
        <w:footnoteReference w:id="3"/>
      </w:r>
      <w:r w:rsidRPr="003B7CB5">
        <w:rPr>
          <w:rFonts w:ascii="Garamond" w:hAnsi="Garamond"/>
          <w:sz w:val="24"/>
          <w:szCs w:val="24"/>
        </w:rPr>
        <w:t>. Indonesian BPS data experienced minus 5.32% in the second quarter of 2020 and the highest negative growth from 1999</w:t>
      </w:r>
      <w:r w:rsidRPr="003B7CB5">
        <w:rPr>
          <w:rStyle w:val="FootnoteReference"/>
          <w:rFonts w:ascii="Garamond" w:hAnsi="Garamond"/>
          <w:sz w:val="24"/>
          <w:szCs w:val="24"/>
        </w:rPr>
        <w:footnoteReference w:id="4"/>
      </w:r>
      <w:r w:rsidRPr="003B7CB5">
        <w:rPr>
          <w:rFonts w:ascii="Garamond" w:hAnsi="Garamond"/>
          <w:sz w:val="24"/>
          <w:szCs w:val="24"/>
        </w:rPr>
        <w:t>.</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According to </w:t>
      </w:r>
      <w:proofErr w:type="spellStart"/>
      <w:r w:rsidRPr="003B7CB5">
        <w:rPr>
          <w:rFonts w:ascii="Garamond" w:hAnsi="Garamond"/>
          <w:sz w:val="24"/>
          <w:szCs w:val="24"/>
        </w:rPr>
        <w:t>Ventjen</w:t>
      </w:r>
      <w:proofErr w:type="spellEnd"/>
      <w:r w:rsidR="00CB3120" w:rsidRPr="003B7CB5">
        <w:rPr>
          <w:rFonts w:ascii="Garamond" w:hAnsi="Garamond"/>
          <w:sz w:val="24"/>
          <w:szCs w:val="24"/>
          <w:lang w:val="id-ID"/>
        </w:rPr>
        <w:t xml:space="preserve"> </w:t>
      </w:r>
      <w:proofErr w:type="spellStart"/>
      <w:r w:rsidRPr="003B7CB5">
        <w:rPr>
          <w:rFonts w:ascii="Garamond" w:hAnsi="Garamond"/>
          <w:sz w:val="24"/>
          <w:szCs w:val="24"/>
        </w:rPr>
        <w:t>Rahardjo</w:t>
      </w:r>
      <w:proofErr w:type="spellEnd"/>
      <w:r w:rsidRPr="003B7CB5">
        <w:rPr>
          <w:rFonts w:ascii="Garamond" w:hAnsi="Garamond"/>
          <w:sz w:val="24"/>
          <w:szCs w:val="24"/>
        </w:rPr>
        <w:t>, executive director of the National Committee for Islamic Economics and finance (KNEKS, 72.6 percent of MSME players were affected by the pandemic</w:t>
      </w:r>
      <w:r w:rsidRPr="003B7CB5">
        <w:rPr>
          <w:rStyle w:val="FootnoteReference"/>
          <w:rFonts w:ascii="Garamond" w:hAnsi="Garamond"/>
          <w:color w:val="111111"/>
          <w:sz w:val="24"/>
          <w:szCs w:val="24"/>
          <w:shd w:val="clear" w:color="auto" w:fill="FFFFFF"/>
        </w:rPr>
        <w:footnoteReference w:id="5"/>
      </w:r>
      <w:r w:rsidRPr="003B7CB5">
        <w:rPr>
          <w:rFonts w:ascii="Garamond" w:hAnsi="Garamond"/>
          <w:color w:val="111111"/>
          <w:sz w:val="24"/>
          <w:szCs w:val="24"/>
          <w:shd w:val="clear" w:color="auto" w:fill="FFFFFF"/>
        </w:rPr>
        <w:t>.</w:t>
      </w:r>
      <w:r w:rsidR="00CB3120" w:rsidRPr="003B7CB5">
        <w:rPr>
          <w:rFonts w:ascii="Garamond" w:hAnsi="Garamond"/>
          <w:color w:val="111111"/>
          <w:sz w:val="24"/>
          <w:szCs w:val="24"/>
          <w:shd w:val="clear" w:color="auto" w:fill="FFFFFF"/>
          <w:lang w:val="id-ID"/>
        </w:rPr>
        <w:t xml:space="preserve"> </w:t>
      </w:r>
      <w:r w:rsidRPr="003B7CB5">
        <w:rPr>
          <w:rFonts w:ascii="Garamond" w:hAnsi="Garamond"/>
          <w:color w:val="111111"/>
          <w:sz w:val="24"/>
          <w:szCs w:val="24"/>
          <w:shd w:val="clear" w:color="auto" w:fill="FFFFFF"/>
        </w:rPr>
        <w:t>This event affects supply and demand simultaneously</w:t>
      </w:r>
      <w:r w:rsidRPr="003B7CB5">
        <w:rPr>
          <w:rStyle w:val="FootnoteReference"/>
          <w:rFonts w:ascii="Garamond" w:hAnsi="Garamond"/>
          <w:color w:val="111111"/>
          <w:sz w:val="24"/>
          <w:szCs w:val="24"/>
          <w:shd w:val="clear" w:color="auto" w:fill="FFFFFF"/>
        </w:rPr>
        <w:footnoteReference w:id="6"/>
      </w:r>
      <w:r w:rsidRPr="003B7CB5">
        <w:rPr>
          <w:rFonts w:ascii="Garamond" w:hAnsi="Garamond"/>
          <w:color w:val="111111"/>
          <w:sz w:val="24"/>
          <w:szCs w:val="24"/>
          <w:shd w:val="clear" w:color="auto" w:fill="FFFFFF"/>
        </w:rPr>
        <w:t>. Another impact of workers who were laid off and forced to be laid off, more than 1.5 million, of this amount, 90 percent were laid off and 10 percent were laid 1.24 million people were formal workers and the remaining 265,000 informal workers</w:t>
      </w:r>
      <w:r w:rsidRPr="003B7CB5">
        <w:rPr>
          <w:rStyle w:val="FootnoteReference"/>
          <w:rFonts w:ascii="Garamond" w:hAnsi="Garamond"/>
          <w:color w:val="111111"/>
          <w:sz w:val="24"/>
          <w:szCs w:val="24"/>
          <w:shd w:val="clear" w:color="auto" w:fill="FFFFFF"/>
        </w:rPr>
        <w:footnoteReference w:id="7"/>
      </w:r>
      <w:r w:rsidRPr="003B7CB5">
        <w:rPr>
          <w:rFonts w:ascii="Garamond" w:hAnsi="Garamond"/>
          <w:color w:val="111111"/>
          <w:sz w:val="24"/>
          <w:szCs w:val="24"/>
          <w:shd w:val="clear" w:color="auto" w:fill="FFFFFF"/>
        </w:rPr>
        <w:t>,the worst-hit MSMEs or micro, small and medium business sector in India</w:t>
      </w:r>
      <w:r w:rsidRPr="003B7CB5">
        <w:rPr>
          <w:rStyle w:val="FootnoteReference"/>
          <w:rFonts w:ascii="Garamond" w:hAnsi="Garamond"/>
          <w:bCs/>
          <w:sz w:val="24"/>
          <w:szCs w:val="24"/>
        </w:rPr>
        <w:footnoteReference w:id="8"/>
      </w:r>
      <w:r w:rsidRPr="003B7CB5">
        <w:rPr>
          <w:rFonts w:ascii="Garamond" w:hAnsi="Garamond"/>
          <w:sz w:val="24"/>
          <w:szCs w:val="24"/>
        </w:rPr>
        <w:t xml:space="preserve">, decreased supply of goods and services </w:t>
      </w:r>
      <w:r w:rsidRPr="003B7CB5">
        <w:rPr>
          <w:rFonts w:ascii="Garamond" w:hAnsi="Garamond"/>
          <w:sz w:val="24"/>
          <w:szCs w:val="24"/>
        </w:rPr>
        <w:lastRenderedPageBreak/>
        <w:t>production and demand for consumption and investment</w:t>
      </w:r>
      <w:r w:rsidRPr="003B7CB5">
        <w:rPr>
          <w:rStyle w:val="FootnoteReference"/>
          <w:rFonts w:ascii="Garamond" w:hAnsi="Garamond"/>
          <w:sz w:val="24"/>
          <w:szCs w:val="24"/>
        </w:rPr>
        <w:footnoteReference w:id="9"/>
      </w:r>
      <w:r w:rsidRPr="003B7CB5">
        <w:rPr>
          <w:rFonts w:ascii="Garamond" w:hAnsi="Garamond"/>
          <w:sz w:val="24"/>
          <w:szCs w:val="24"/>
        </w:rPr>
        <w:t>, the decline in economic development in the real sector affects financial sector, especially in financing, restrictions on activities hamper production and distribution, so that productive,</w:t>
      </w:r>
      <w:r w:rsidR="00CB3120" w:rsidRPr="003B7CB5">
        <w:rPr>
          <w:rFonts w:ascii="Garamond" w:hAnsi="Garamond"/>
          <w:sz w:val="24"/>
          <w:szCs w:val="24"/>
          <w:lang w:val="id-ID"/>
        </w:rPr>
        <w:t xml:space="preserve"> </w:t>
      </w:r>
      <w:r w:rsidRPr="003B7CB5">
        <w:rPr>
          <w:rFonts w:ascii="Garamond" w:hAnsi="Garamond"/>
          <w:sz w:val="24"/>
          <w:szCs w:val="24"/>
        </w:rPr>
        <w:t>consumptive and investment financing spontaneously causes stagnation for small companies or micro-businesses with small asset capabilities and minimal risk control, creates problematic financing for  financial institutions with an increase in the amount of financing risk and will affect spirit on the stability of financial institutions.</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The condition of Islamic banking before the pandemic experienced an increase of 5% a year from OJK   from 93,713 in 2016 and 171,270 in 2019 and financing total in 2016 of approximately 466 rose to 4,561 in 2019</w:t>
      </w:r>
      <w:r w:rsidRPr="003B7CB5">
        <w:rPr>
          <w:rStyle w:val="FootnoteReference"/>
          <w:rFonts w:ascii="Garamond" w:hAnsi="Garamond"/>
          <w:sz w:val="24"/>
          <w:szCs w:val="24"/>
        </w:rPr>
        <w:footnoteReference w:id="10"/>
      </w:r>
      <w:r w:rsidR="00CB3120" w:rsidRPr="003B7CB5">
        <w:rPr>
          <w:rFonts w:ascii="Garamond" w:hAnsi="Garamond"/>
          <w:sz w:val="24"/>
          <w:szCs w:val="24"/>
        </w:rPr>
        <w:t xml:space="preserve">, </w:t>
      </w:r>
      <w:r w:rsidRPr="003B7CB5">
        <w:rPr>
          <w:rFonts w:ascii="Garamond" w:hAnsi="Garamond"/>
          <w:sz w:val="24"/>
          <w:szCs w:val="24"/>
        </w:rPr>
        <w:t xml:space="preserve">the conditions of </w:t>
      </w:r>
      <w:r w:rsidRPr="003B7CB5">
        <w:rPr>
          <w:rFonts w:ascii="Garamond" w:hAnsi="Garamond"/>
          <w:i/>
          <w:sz w:val="24"/>
          <w:szCs w:val="24"/>
        </w:rPr>
        <w:t>sharia</w:t>
      </w:r>
      <w:r w:rsidRPr="003B7CB5">
        <w:rPr>
          <w:rFonts w:ascii="Garamond" w:hAnsi="Garamond"/>
          <w:sz w:val="24"/>
          <w:szCs w:val="24"/>
        </w:rPr>
        <w:t xml:space="preserve"> financial institutions before the pandemic experienced simultaneous growth. </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The stability of the </w:t>
      </w:r>
      <w:r w:rsidRPr="003B7CB5">
        <w:rPr>
          <w:rFonts w:ascii="Garamond" w:hAnsi="Garamond"/>
          <w:i/>
          <w:sz w:val="24"/>
          <w:szCs w:val="24"/>
        </w:rPr>
        <w:t>sharia</w:t>
      </w:r>
      <w:r w:rsidRPr="003B7CB5">
        <w:rPr>
          <w:rFonts w:ascii="Garamond" w:hAnsi="Garamond"/>
          <w:sz w:val="24"/>
          <w:szCs w:val="24"/>
        </w:rPr>
        <w:t xml:space="preserve"> financial services industry in 2019 reported that in 2013-2018 there was an increase in CARG banking growth of 7,1%, </w:t>
      </w:r>
      <w:r w:rsidRPr="003B7CB5">
        <w:rPr>
          <w:rFonts w:ascii="Garamond" w:hAnsi="Garamond"/>
          <w:i/>
          <w:sz w:val="24"/>
          <w:szCs w:val="24"/>
        </w:rPr>
        <w:t>sharia</w:t>
      </w:r>
      <w:r w:rsidRPr="003B7CB5">
        <w:rPr>
          <w:rFonts w:ascii="Garamond" w:hAnsi="Garamond"/>
          <w:sz w:val="24"/>
          <w:szCs w:val="24"/>
        </w:rPr>
        <w:t xml:space="preserve"> finance grew by 7,4 %, and deposits grew by 7,2%</w:t>
      </w:r>
      <w:r w:rsidRPr="003B7CB5">
        <w:rPr>
          <w:rStyle w:val="FootnoteReference"/>
          <w:rFonts w:ascii="Garamond" w:hAnsi="Garamond"/>
          <w:sz w:val="24"/>
          <w:szCs w:val="24"/>
        </w:rPr>
        <w:footnoteReference w:id="11"/>
      </w:r>
      <w:r w:rsidRPr="003B7CB5">
        <w:rPr>
          <w:rFonts w:ascii="Garamond" w:hAnsi="Garamond"/>
          <w:sz w:val="24"/>
          <w:szCs w:val="24"/>
        </w:rPr>
        <w:t xml:space="preserve">, unlike during the covid-19 pandemic, which has experienced a global economic recession, the banking sector with its financing experienced a long polemic. </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The banking system in Indonesia is one of those affected in addition to the health </w:t>
      </w:r>
      <w:r w:rsidR="00CB3120" w:rsidRPr="003B7CB5">
        <w:rPr>
          <w:rFonts w:ascii="Garamond" w:hAnsi="Garamond"/>
          <w:sz w:val="24"/>
          <w:szCs w:val="24"/>
        </w:rPr>
        <w:t>sector;</w:t>
      </w:r>
      <w:r w:rsidRPr="003B7CB5">
        <w:rPr>
          <w:rFonts w:ascii="Garamond" w:hAnsi="Garamond"/>
          <w:sz w:val="24"/>
          <w:szCs w:val="24"/>
        </w:rPr>
        <w:t xml:space="preserve"> conventional banks decreased in the first quarter of 2020 and exceeded the decline in the first quarter of 2019</w:t>
      </w:r>
      <w:r w:rsidRPr="003B7CB5">
        <w:rPr>
          <w:rStyle w:val="FootnoteReference"/>
          <w:rFonts w:ascii="Garamond" w:hAnsi="Garamond"/>
          <w:sz w:val="24"/>
          <w:szCs w:val="24"/>
        </w:rPr>
        <w:footnoteReference w:id="12"/>
      </w:r>
      <w:r w:rsidR="00CB3120" w:rsidRPr="003B7CB5">
        <w:rPr>
          <w:rFonts w:ascii="Garamond" w:hAnsi="Garamond"/>
          <w:sz w:val="24"/>
          <w:szCs w:val="24"/>
        </w:rPr>
        <w:t>,</w:t>
      </w:r>
      <w:r w:rsidRPr="003B7CB5">
        <w:rPr>
          <w:rFonts w:ascii="Garamond" w:hAnsi="Garamond"/>
          <w:sz w:val="24"/>
          <w:szCs w:val="24"/>
        </w:rPr>
        <w:t xml:space="preserve"> including </w:t>
      </w:r>
      <w:r w:rsidRPr="003B7CB5">
        <w:rPr>
          <w:rFonts w:ascii="Garamond" w:hAnsi="Garamond"/>
          <w:i/>
          <w:sz w:val="24"/>
          <w:szCs w:val="24"/>
        </w:rPr>
        <w:t>Sharia</w:t>
      </w:r>
      <w:r w:rsidRPr="003B7CB5">
        <w:rPr>
          <w:rFonts w:ascii="Garamond" w:hAnsi="Garamond"/>
          <w:sz w:val="24"/>
          <w:szCs w:val="24"/>
        </w:rPr>
        <w:t xml:space="preserve"> </w:t>
      </w:r>
      <w:r w:rsidR="00CB3120" w:rsidRPr="003B7CB5">
        <w:rPr>
          <w:rFonts w:ascii="Garamond" w:hAnsi="Garamond"/>
          <w:sz w:val="24"/>
          <w:szCs w:val="24"/>
        </w:rPr>
        <w:t>banking</w:t>
      </w:r>
      <w:r w:rsidRPr="003B7CB5">
        <w:rPr>
          <w:rStyle w:val="FootnoteReference"/>
          <w:rFonts w:ascii="Garamond" w:hAnsi="Garamond"/>
          <w:sz w:val="24"/>
          <w:szCs w:val="24"/>
        </w:rPr>
        <w:footnoteReference w:id="13"/>
      </w:r>
      <w:r w:rsidRPr="003B7CB5">
        <w:rPr>
          <w:rFonts w:ascii="Garamond" w:hAnsi="Garamond"/>
          <w:sz w:val="24"/>
          <w:szCs w:val="24"/>
          <w:shd w:val="clear" w:color="auto" w:fill="FFFFFF"/>
        </w:rPr>
        <w:t xml:space="preserve">. </w:t>
      </w:r>
      <w:r w:rsidRPr="003B7CB5">
        <w:rPr>
          <w:rFonts w:ascii="Garamond" w:hAnsi="Garamond"/>
          <w:sz w:val="24"/>
          <w:szCs w:val="24"/>
        </w:rPr>
        <w:t xml:space="preserve">Covid-19 has a significant impact on the development of the world. The World Bank says that the impact of the Covid-19 pandemic on the economic sector will stop businesses. The World Bank also estimates for businesses, including </w:t>
      </w:r>
      <w:r w:rsidRPr="003B7CB5">
        <w:rPr>
          <w:rFonts w:ascii="Garamond" w:hAnsi="Garamond"/>
          <w:sz w:val="24"/>
          <w:szCs w:val="24"/>
        </w:rPr>
        <w:lastRenderedPageBreak/>
        <w:t>people will remain in poverty</w:t>
      </w:r>
      <w:r w:rsidRPr="003B7CB5">
        <w:rPr>
          <w:rStyle w:val="FootnoteReference"/>
          <w:rFonts w:ascii="Garamond" w:hAnsi="Garamond"/>
          <w:sz w:val="24"/>
          <w:szCs w:val="24"/>
        </w:rPr>
        <w:footnoteReference w:id="14"/>
      </w:r>
      <w:r w:rsidRPr="003B7CB5">
        <w:rPr>
          <w:rFonts w:ascii="Garamond" w:hAnsi="Garamond"/>
          <w:sz w:val="24"/>
          <w:szCs w:val="24"/>
        </w:rPr>
        <w:t>. The study</w:t>
      </w:r>
      <w:r w:rsidRPr="003B7CB5">
        <w:rPr>
          <w:rStyle w:val="FootnoteReference"/>
          <w:rFonts w:ascii="Garamond" w:hAnsi="Garamond"/>
          <w:sz w:val="24"/>
          <w:szCs w:val="24"/>
        </w:rPr>
        <w:footnoteReference w:id="15"/>
      </w:r>
      <w:r w:rsidRPr="003B7CB5">
        <w:rPr>
          <w:rFonts w:ascii="Garamond" w:hAnsi="Garamond"/>
          <w:sz w:val="24"/>
          <w:szCs w:val="24"/>
        </w:rPr>
        <w:t xml:space="preserve"> showed bad news about the Indonesian capital market after it was announced by </w:t>
      </w:r>
      <w:proofErr w:type="gramStart"/>
      <w:r w:rsidRPr="003B7CB5">
        <w:rPr>
          <w:rFonts w:ascii="Garamond" w:hAnsi="Garamond"/>
          <w:sz w:val="24"/>
          <w:szCs w:val="24"/>
        </w:rPr>
        <w:t>WHO</w:t>
      </w:r>
      <w:proofErr w:type="gramEnd"/>
      <w:r w:rsidRPr="003B7CB5">
        <w:rPr>
          <w:rFonts w:ascii="Garamond" w:hAnsi="Garamond"/>
          <w:sz w:val="24"/>
          <w:szCs w:val="24"/>
        </w:rPr>
        <w:t xml:space="preserve"> about the covid-19 pandemic as a global pandemic on March 11, 2020.</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The Covid-19 pandemic is a challenge for businesses, including the banking financial services industry. Based on Sharia banking statistics in January 2020, the number of Sharia Commercial Bank Office networks is 1,992 branches spread across various regions in Indonesia dominated by Java Island. </w:t>
      </w:r>
      <w:proofErr w:type="gramStart"/>
      <w:r w:rsidRPr="003B7CB5">
        <w:rPr>
          <w:rFonts w:ascii="Garamond" w:hAnsi="Garamond"/>
          <w:sz w:val="24"/>
          <w:szCs w:val="24"/>
        </w:rPr>
        <w:t>In the line with most areas found Covid-19, namely Java Island (</w:t>
      </w:r>
      <w:proofErr w:type="spellStart"/>
      <w:r w:rsidRPr="003B7CB5">
        <w:rPr>
          <w:rFonts w:ascii="Garamond" w:hAnsi="Garamond"/>
          <w:sz w:val="24"/>
          <w:szCs w:val="24"/>
        </w:rPr>
        <w:t>StatistikPerbankan</w:t>
      </w:r>
      <w:proofErr w:type="spellEnd"/>
      <w:r w:rsidRPr="003B7CB5">
        <w:rPr>
          <w:rFonts w:ascii="Garamond" w:hAnsi="Garamond"/>
          <w:sz w:val="24"/>
          <w:szCs w:val="24"/>
        </w:rPr>
        <w:t xml:space="preserve"> Syariah, Januari 2020).</w:t>
      </w:r>
      <w:proofErr w:type="gramEnd"/>
      <w:r w:rsidRPr="003B7CB5">
        <w:rPr>
          <w:rFonts w:ascii="Garamond" w:hAnsi="Garamond"/>
          <w:sz w:val="24"/>
          <w:szCs w:val="24"/>
        </w:rPr>
        <w:t xml:space="preserve"> This indicates that most </w:t>
      </w:r>
      <w:r w:rsidRPr="003B7CB5">
        <w:rPr>
          <w:rFonts w:ascii="Garamond" w:hAnsi="Garamond"/>
          <w:i/>
          <w:sz w:val="24"/>
          <w:szCs w:val="24"/>
        </w:rPr>
        <w:t>sharia</w:t>
      </w:r>
      <w:r w:rsidRPr="003B7CB5">
        <w:rPr>
          <w:rFonts w:ascii="Garamond" w:hAnsi="Garamond"/>
          <w:sz w:val="24"/>
          <w:szCs w:val="24"/>
        </w:rPr>
        <w:t xml:space="preserve"> bank officers are in the red zone, the level of distribution of the </w:t>
      </w:r>
      <w:r w:rsidRPr="003B7CB5">
        <w:rPr>
          <w:rFonts w:ascii="Garamond" w:hAnsi="Garamond"/>
          <w:i/>
          <w:sz w:val="24"/>
          <w:szCs w:val="24"/>
        </w:rPr>
        <w:t>Sharia</w:t>
      </w:r>
      <w:r w:rsidRPr="003B7CB5">
        <w:rPr>
          <w:rFonts w:ascii="Garamond" w:hAnsi="Garamond"/>
          <w:sz w:val="24"/>
          <w:szCs w:val="24"/>
        </w:rPr>
        <w:t xml:space="preserve"> banking industry in Indonesia</w:t>
      </w:r>
      <w:r w:rsidRPr="003B7CB5">
        <w:rPr>
          <w:rStyle w:val="FootnoteReference"/>
          <w:rFonts w:ascii="Garamond" w:hAnsi="Garamond"/>
          <w:sz w:val="24"/>
          <w:szCs w:val="24"/>
        </w:rPr>
        <w:footnoteReference w:id="16"/>
      </w:r>
      <w:r w:rsidRPr="003B7CB5">
        <w:rPr>
          <w:rFonts w:ascii="Garamond" w:hAnsi="Garamond"/>
          <w:sz w:val="24"/>
          <w:szCs w:val="24"/>
        </w:rPr>
        <w:t>.</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sz w:val="24"/>
          <w:szCs w:val="24"/>
        </w:rPr>
        <w:t xml:space="preserve">Various policies are carried out as an alternative solution to rise in the face of the impact of the pandemic after New Normal with the hope of the disconnection of the spread of covid-19 and the nation's economic growth can bounce back, </w:t>
      </w:r>
      <w:r w:rsidRPr="003B7CB5">
        <w:rPr>
          <w:rFonts w:ascii="Garamond" w:hAnsi="Garamond"/>
          <w:i/>
          <w:sz w:val="24"/>
          <w:szCs w:val="24"/>
        </w:rPr>
        <w:t>Sharia</w:t>
      </w:r>
      <w:r w:rsidRPr="003B7CB5">
        <w:rPr>
          <w:rFonts w:ascii="Garamond" w:hAnsi="Garamond"/>
          <w:sz w:val="24"/>
          <w:szCs w:val="24"/>
        </w:rPr>
        <w:t xml:space="preserve"> finance and economy provide many solutions from the impact of COVID-19 on the economy through its main principles and investment products </w:t>
      </w:r>
      <w:r w:rsidRPr="003B7CB5">
        <w:rPr>
          <w:rStyle w:val="FootnoteReference"/>
          <w:rFonts w:ascii="Garamond" w:hAnsi="Garamond"/>
          <w:color w:val="111111"/>
          <w:sz w:val="24"/>
          <w:szCs w:val="24"/>
          <w:shd w:val="clear" w:color="auto" w:fill="FFFFFF"/>
        </w:rPr>
        <w:footnoteReference w:id="17"/>
      </w:r>
      <w:r w:rsidRPr="003B7CB5">
        <w:rPr>
          <w:rFonts w:ascii="Garamond" w:hAnsi="Garamond"/>
          <w:color w:val="111111"/>
          <w:sz w:val="24"/>
          <w:szCs w:val="24"/>
          <w:shd w:val="clear" w:color="auto" w:fill="FFFFFF"/>
        </w:rPr>
        <w:t xml:space="preserve">.Economic recovery program is carried out by </w:t>
      </w:r>
      <w:proofErr w:type="spellStart"/>
      <w:r w:rsidRPr="003B7CB5">
        <w:rPr>
          <w:rFonts w:ascii="Garamond" w:hAnsi="Garamond"/>
          <w:color w:val="111111"/>
          <w:sz w:val="24"/>
          <w:szCs w:val="24"/>
          <w:shd w:val="clear" w:color="auto" w:fill="FFFFFF"/>
        </w:rPr>
        <w:t>restukturization</w:t>
      </w:r>
      <w:proofErr w:type="spellEnd"/>
      <w:r w:rsidRPr="003B7CB5">
        <w:rPr>
          <w:rFonts w:ascii="Garamond" w:hAnsi="Garamond"/>
          <w:color w:val="111111"/>
          <w:sz w:val="24"/>
          <w:szCs w:val="24"/>
          <w:shd w:val="clear" w:color="auto" w:fill="FFFFFF"/>
        </w:rPr>
        <w:t xml:space="preserve"> of financing and guarantee of financing in the business world. Interesting to research from the point of view of the study of </w:t>
      </w:r>
      <w:proofErr w:type="spellStart"/>
      <w:r w:rsidRPr="003B7CB5">
        <w:rPr>
          <w:rFonts w:ascii="Garamond" w:hAnsi="Garamond"/>
          <w:i/>
          <w:color w:val="111111"/>
          <w:sz w:val="24"/>
          <w:szCs w:val="24"/>
          <w:shd w:val="clear" w:color="auto" w:fill="FFFFFF"/>
        </w:rPr>
        <w:t>ushul</w:t>
      </w:r>
      <w:proofErr w:type="spellEnd"/>
      <w:r w:rsidRPr="003B7CB5">
        <w:rPr>
          <w:rFonts w:ascii="Garamond" w:hAnsi="Garamond"/>
          <w:i/>
          <w:color w:val="111111"/>
          <w:sz w:val="24"/>
          <w:szCs w:val="24"/>
          <w:shd w:val="clear" w:color="auto" w:fill="FFFFFF"/>
        </w:rPr>
        <w:t xml:space="preserve"> fiqih</w:t>
      </w:r>
      <w:r w:rsidRPr="003B7CB5">
        <w:rPr>
          <w:rFonts w:ascii="Garamond" w:hAnsi="Garamond"/>
          <w:color w:val="111111"/>
          <w:sz w:val="24"/>
          <w:szCs w:val="24"/>
          <w:shd w:val="clear" w:color="auto" w:fill="FFFFFF"/>
        </w:rPr>
        <w:t xml:space="preserve"> with the </w:t>
      </w:r>
      <w:proofErr w:type="spellStart"/>
      <w:r w:rsidRPr="003B7CB5">
        <w:rPr>
          <w:rFonts w:ascii="Garamond" w:hAnsi="Garamond"/>
          <w:i/>
          <w:color w:val="111111"/>
          <w:sz w:val="24"/>
          <w:szCs w:val="24"/>
          <w:shd w:val="clear" w:color="auto" w:fill="FFFFFF"/>
        </w:rPr>
        <w:t>maqashid</w:t>
      </w:r>
      <w:proofErr w:type="spellEnd"/>
      <w:r w:rsidRPr="003B7CB5">
        <w:rPr>
          <w:rFonts w:ascii="Garamond" w:hAnsi="Garamond"/>
          <w:i/>
          <w:color w:val="111111"/>
          <w:sz w:val="24"/>
          <w:szCs w:val="24"/>
          <w:shd w:val="clear" w:color="auto" w:fill="FFFFFF"/>
        </w:rPr>
        <w:t xml:space="preserve"> al-</w:t>
      </w:r>
      <w:proofErr w:type="spellStart"/>
      <w:r w:rsidRPr="003B7CB5">
        <w:rPr>
          <w:rFonts w:ascii="Garamond" w:hAnsi="Garamond"/>
          <w:i/>
          <w:color w:val="111111"/>
          <w:sz w:val="24"/>
          <w:szCs w:val="24"/>
          <w:shd w:val="clear" w:color="auto" w:fill="FFFFFF"/>
        </w:rPr>
        <w:t>syar'iyah</w:t>
      </w:r>
      <w:proofErr w:type="spellEnd"/>
      <w:r w:rsidRPr="003B7CB5">
        <w:rPr>
          <w:rFonts w:ascii="Garamond" w:hAnsi="Garamond"/>
          <w:color w:val="111111"/>
          <w:sz w:val="24"/>
          <w:szCs w:val="24"/>
          <w:shd w:val="clear" w:color="auto" w:fill="FFFFFF"/>
        </w:rPr>
        <w:t xml:space="preserve"> approach, the purpose of </w:t>
      </w:r>
      <w:proofErr w:type="spellStart"/>
      <w:r w:rsidRPr="003B7CB5">
        <w:rPr>
          <w:rFonts w:ascii="Garamond" w:hAnsi="Garamond"/>
          <w:i/>
          <w:color w:val="111111"/>
          <w:sz w:val="24"/>
          <w:szCs w:val="24"/>
          <w:shd w:val="clear" w:color="auto" w:fill="FFFFFF"/>
        </w:rPr>
        <w:t>Maqosid</w:t>
      </w:r>
      <w:proofErr w:type="spellEnd"/>
      <w:r w:rsidR="00CB3120" w:rsidRPr="003B7CB5">
        <w:rPr>
          <w:rFonts w:ascii="Garamond" w:hAnsi="Garamond"/>
          <w:i/>
          <w:color w:val="111111"/>
          <w:sz w:val="24"/>
          <w:szCs w:val="24"/>
          <w:shd w:val="clear" w:color="auto" w:fill="FFFFFF"/>
          <w:lang w:val="id-ID"/>
        </w:rPr>
        <w:t xml:space="preserve"> </w:t>
      </w:r>
      <w:proofErr w:type="spellStart"/>
      <w:r w:rsidRPr="003B7CB5">
        <w:rPr>
          <w:rFonts w:ascii="Garamond" w:hAnsi="Garamond"/>
          <w:i/>
          <w:color w:val="111111"/>
          <w:sz w:val="24"/>
          <w:szCs w:val="24"/>
          <w:shd w:val="clear" w:color="auto" w:fill="FFFFFF"/>
        </w:rPr>
        <w:t>Syar’iyah</w:t>
      </w:r>
      <w:proofErr w:type="spellEnd"/>
      <w:r w:rsidRPr="003B7CB5">
        <w:rPr>
          <w:rFonts w:ascii="Garamond" w:hAnsi="Garamond"/>
          <w:color w:val="111111"/>
          <w:sz w:val="24"/>
          <w:szCs w:val="24"/>
          <w:shd w:val="clear" w:color="auto" w:fill="FFFFFF"/>
        </w:rPr>
        <w:t xml:space="preserve"> is to seek benefit in all segments of human life</w:t>
      </w:r>
      <w:r w:rsidRPr="003B7CB5">
        <w:rPr>
          <w:rStyle w:val="FootnoteReference"/>
          <w:rFonts w:ascii="Garamond" w:hAnsi="Garamond"/>
          <w:color w:val="111111"/>
          <w:sz w:val="24"/>
          <w:szCs w:val="24"/>
          <w:shd w:val="clear" w:color="auto" w:fill="FFFFFF"/>
        </w:rPr>
        <w:footnoteReference w:id="18"/>
      </w:r>
      <w:r w:rsidRPr="003B7CB5">
        <w:rPr>
          <w:rFonts w:ascii="Garamond" w:hAnsi="Garamond"/>
          <w:color w:val="111111"/>
          <w:sz w:val="24"/>
          <w:szCs w:val="24"/>
          <w:shd w:val="clear" w:color="auto" w:fill="FFFFFF"/>
        </w:rPr>
        <w:t>.</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i/>
          <w:color w:val="111111"/>
          <w:sz w:val="24"/>
          <w:szCs w:val="24"/>
          <w:shd w:val="clear" w:color="auto" w:fill="FFFFFF"/>
        </w:rPr>
        <w:t>Sharia</w:t>
      </w:r>
      <w:r w:rsidRPr="003B7CB5">
        <w:rPr>
          <w:rFonts w:ascii="Garamond" w:hAnsi="Garamond"/>
          <w:color w:val="111111"/>
          <w:sz w:val="24"/>
          <w:szCs w:val="24"/>
          <w:shd w:val="clear" w:color="auto" w:fill="FFFFFF"/>
        </w:rPr>
        <w:t xml:space="preserve"> banks as financial institutions that serve to collect and distribute funds to people in need, activities to raise funds are carried out in various forms such as saving deposits current accounts, or deposits, while the distribution of funds or financing can be done by financing using </w:t>
      </w:r>
      <w:r w:rsidRPr="003B7CB5">
        <w:rPr>
          <w:rFonts w:ascii="Garamond" w:hAnsi="Garamond"/>
          <w:i/>
          <w:color w:val="111111"/>
          <w:sz w:val="24"/>
          <w:szCs w:val="24"/>
          <w:shd w:val="clear" w:color="auto" w:fill="FFFFFF"/>
        </w:rPr>
        <w:t>sharia</w:t>
      </w:r>
      <w:r w:rsidRPr="003B7CB5">
        <w:rPr>
          <w:rFonts w:ascii="Garamond" w:hAnsi="Garamond"/>
          <w:color w:val="111111"/>
          <w:sz w:val="24"/>
          <w:szCs w:val="24"/>
          <w:shd w:val="clear" w:color="auto" w:fill="FFFFFF"/>
        </w:rPr>
        <w:t xml:space="preserve"> principles such as </w:t>
      </w:r>
      <w:proofErr w:type="spellStart"/>
      <w:r w:rsidRPr="003B7CB5">
        <w:rPr>
          <w:rFonts w:ascii="Garamond" w:hAnsi="Garamond"/>
          <w:i/>
          <w:color w:val="111111"/>
          <w:sz w:val="24"/>
          <w:szCs w:val="24"/>
          <w:shd w:val="clear" w:color="auto" w:fill="FFFFFF"/>
        </w:rPr>
        <w:t>mudhrabah</w:t>
      </w:r>
      <w:proofErr w:type="spellEnd"/>
      <w:r w:rsidRPr="003B7CB5">
        <w:rPr>
          <w:rFonts w:ascii="Garamond" w:hAnsi="Garamond"/>
          <w:color w:val="111111"/>
          <w:sz w:val="24"/>
          <w:szCs w:val="24"/>
          <w:shd w:val="clear" w:color="auto" w:fill="FFFFFF"/>
        </w:rPr>
        <w:t xml:space="preserve">, </w:t>
      </w:r>
      <w:r w:rsidRPr="003B7CB5">
        <w:rPr>
          <w:rFonts w:ascii="Garamond" w:hAnsi="Garamond"/>
          <w:i/>
          <w:color w:val="111111"/>
          <w:sz w:val="24"/>
          <w:szCs w:val="24"/>
          <w:shd w:val="clear" w:color="auto" w:fill="FFFFFF"/>
        </w:rPr>
        <w:t>Masyarakat</w:t>
      </w:r>
      <w:r w:rsidRPr="003B7CB5">
        <w:rPr>
          <w:rFonts w:ascii="Garamond" w:hAnsi="Garamond"/>
          <w:color w:val="111111"/>
          <w:sz w:val="24"/>
          <w:szCs w:val="24"/>
          <w:shd w:val="clear" w:color="auto" w:fill="FFFFFF"/>
        </w:rPr>
        <w:t xml:space="preserve">, </w:t>
      </w:r>
      <w:proofErr w:type="spellStart"/>
      <w:r w:rsidRPr="003B7CB5">
        <w:rPr>
          <w:rFonts w:ascii="Garamond" w:hAnsi="Garamond"/>
          <w:i/>
          <w:color w:val="111111"/>
          <w:sz w:val="24"/>
          <w:szCs w:val="24"/>
          <w:shd w:val="clear" w:color="auto" w:fill="FFFFFF"/>
        </w:rPr>
        <w:t>Murabaha</w:t>
      </w:r>
      <w:proofErr w:type="spellEnd"/>
      <w:r w:rsidRPr="003B7CB5">
        <w:rPr>
          <w:rFonts w:ascii="Garamond" w:hAnsi="Garamond"/>
          <w:color w:val="111111"/>
          <w:sz w:val="24"/>
          <w:szCs w:val="24"/>
          <w:shd w:val="clear" w:color="auto" w:fill="FFFFFF"/>
        </w:rPr>
        <w:t xml:space="preserve"> buying and selling, greetings and Cristina, </w:t>
      </w:r>
      <w:proofErr w:type="spellStart"/>
      <w:r w:rsidRPr="003B7CB5">
        <w:rPr>
          <w:rFonts w:ascii="Garamond" w:hAnsi="Garamond"/>
          <w:i/>
          <w:color w:val="111111"/>
          <w:sz w:val="24"/>
          <w:szCs w:val="24"/>
          <w:shd w:val="clear" w:color="auto" w:fill="FFFFFF"/>
        </w:rPr>
        <w:t>ijaroh</w:t>
      </w:r>
      <w:proofErr w:type="spellEnd"/>
      <w:r w:rsidRPr="003B7CB5">
        <w:rPr>
          <w:rFonts w:ascii="Garamond" w:hAnsi="Garamond"/>
          <w:color w:val="111111"/>
          <w:sz w:val="24"/>
          <w:szCs w:val="24"/>
          <w:shd w:val="clear" w:color="auto" w:fill="FFFFFF"/>
        </w:rPr>
        <w:t xml:space="preserve"> with various forms of this agreement, </w:t>
      </w:r>
      <w:r w:rsidRPr="003B7CB5">
        <w:rPr>
          <w:rFonts w:ascii="Garamond" w:hAnsi="Garamond"/>
          <w:i/>
          <w:color w:val="111111"/>
          <w:sz w:val="24"/>
          <w:szCs w:val="24"/>
          <w:shd w:val="clear" w:color="auto" w:fill="FFFFFF"/>
        </w:rPr>
        <w:t>sharia</w:t>
      </w:r>
      <w:r w:rsidRPr="003B7CB5">
        <w:rPr>
          <w:rFonts w:ascii="Garamond" w:hAnsi="Garamond"/>
          <w:color w:val="111111"/>
          <w:sz w:val="24"/>
          <w:szCs w:val="24"/>
          <w:shd w:val="clear" w:color="auto" w:fill="FFFFFF"/>
        </w:rPr>
        <w:t xml:space="preserve"> banks are not impossible to avoid financial by referring to the </w:t>
      </w:r>
      <w:r w:rsidRPr="003B7CB5">
        <w:rPr>
          <w:rFonts w:ascii="Garamond" w:hAnsi="Garamond"/>
          <w:i/>
          <w:color w:val="111111"/>
          <w:sz w:val="24"/>
          <w:szCs w:val="24"/>
          <w:shd w:val="clear" w:color="auto" w:fill="FFFFFF"/>
        </w:rPr>
        <w:t>Peraturan</w:t>
      </w:r>
      <w:r w:rsidRPr="003B7CB5">
        <w:rPr>
          <w:rFonts w:ascii="Garamond" w:hAnsi="Garamond"/>
          <w:color w:val="111111"/>
          <w:sz w:val="24"/>
          <w:szCs w:val="24"/>
          <w:shd w:val="clear" w:color="auto" w:fill="FFFFFF"/>
        </w:rPr>
        <w:t xml:space="preserve"> Bank Indonesia or PBI, No </w:t>
      </w:r>
      <w:r w:rsidRPr="003B7CB5">
        <w:rPr>
          <w:rFonts w:ascii="Garamond" w:hAnsi="Garamond"/>
          <w:color w:val="111111"/>
          <w:sz w:val="24"/>
          <w:szCs w:val="24"/>
          <w:shd w:val="clear" w:color="auto" w:fill="FFFFFF"/>
        </w:rPr>
        <w:lastRenderedPageBreak/>
        <w:t>13/23/PBI/2011</w:t>
      </w:r>
      <w:r w:rsidRPr="003B7CB5">
        <w:rPr>
          <w:rStyle w:val="FootnoteReference"/>
          <w:rFonts w:ascii="Garamond" w:hAnsi="Garamond"/>
          <w:color w:val="111111"/>
          <w:sz w:val="24"/>
          <w:szCs w:val="24"/>
          <w:shd w:val="clear" w:color="auto" w:fill="FFFFFF"/>
        </w:rPr>
        <w:footnoteReference w:id="19"/>
      </w:r>
      <w:r w:rsidRPr="003B7CB5">
        <w:rPr>
          <w:rFonts w:ascii="Garamond" w:hAnsi="Garamond"/>
          <w:color w:val="111111"/>
          <w:sz w:val="24"/>
          <w:szCs w:val="24"/>
          <w:shd w:val="clear" w:color="auto" w:fill="FFFFFF"/>
        </w:rPr>
        <w:t xml:space="preserve">, </w:t>
      </w:r>
      <w:r w:rsidRPr="003B7CB5">
        <w:rPr>
          <w:rFonts w:ascii="Garamond" w:hAnsi="Garamond"/>
          <w:i/>
          <w:color w:val="111111"/>
          <w:sz w:val="24"/>
          <w:szCs w:val="24"/>
          <w:shd w:val="clear" w:color="auto" w:fill="FFFFFF"/>
        </w:rPr>
        <w:t>Sharia</w:t>
      </w:r>
      <w:r w:rsidRPr="003B7CB5">
        <w:rPr>
          <w:rFonts w:ascii="Garamond" w:hAnsi="Garamond"/>
          <w:color w:val="111111"/>
          <w:sz w:val="24"/>
          <w:szCs w:val="24"/>
          <w:shd w:val="clear" w:color="auto" w:fill="FFFFFF"/>
        </w:rPr>
        <w:t xml:space="preserve"> banks will not be separated from financial risks such as financing risks, market risks, liquidity risks, operational risks, legal risks, reputational risks, strategic risks, compliance risks, yield risks, and investment risks. </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color w:val="111111"/>
          <w:sz w:val="24"/>
          <w:szCs w:val="24"/>
          <w:shd w:val="clear" w:color="auto" w:fill="FFFFFF"/>
        </w:rPr>
        <w:t xml:space="preserve">Financing is a transaction based on agreements and agreements related to the fulfillment of consumer, product, and investment needs between customers with the bank and non-bank institutions within a certain period and the distribution of certain benefits and rewards to improve economic well-being both personal, organizational, and the public in general </w:t>
      </w:r>
      <w:r w:rsidRPr="003B7CB5">
        <w:rPr>
          <w:rStyle w:val="FootnoteReference"/>
          <w:rFonts w:ascii="Garamond" w:hAnsi="Garamond"/>
          <w:color w:val="111111"/>
          <w:sz w:val="24"/>
          <w:szCs w:val="24"/>
          <w:shd w:val="clear" w:color="auto" w:fill="FFFFFF"/>
        </w:rPr>
        <w:footnoteReference w:id="20"/>
      </w:r>
      <w:r w:rsidRPr="003B7CB5">
        <w:rPr>
          <w:rFonts w:ascii="Garamond" w:hAnsi="Garamond"/>
          <w:color w:val="111111"/>
          <w:sz w:val="24"/>
          <w:szCs w:val="24"/>
          <w:shd w:val="clear" w:color="auto" w:fill="FFFFFF"/>
        </w:rPr>
        <w:t xml:space="preserve"> .</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color w:val="111111"/>
          <w:sz w:val="24"/>
          <w:szCs w:val="24"/>
          <w:shd w:val="clear" w:color="auto" w:fill="FFFFFF"/>
        </w:rPr>
        <w:t xml:space="preserve">Financing risk can occur if the customer fails to pay the refund, caused by internal and external factors of the customer, internal bank factors can occur due to the negligence of the bank or the customer, the bank's negligence can occur in the analysis of customer needs, the presence of certain party pressures and the orientation of program or target achievements, while negligence from the customer can occur if the customer management fails in conducting managerial finance, lack of experience and customer analysis even occur fraud by other parties can trigger the emergence of problematic financing while external factors can arise because of natural conditions such as natural disasters that can happen at any time, the power of disasters that damage productions facilities or damage the management order, even the existence of government policies can decrease the ability of customers in fulfilling their obligations to pay to finance. </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color w:val="111111"/>
          <w:sz w:val="24"/>
          <w:szCs w:val="24"/>
          <w:shd w:val="clear" w:color="auto" w:fill="FFFFFF"/>
        </w:rPr>
        <w:t>One of the efforts to minimize the impact of the risk of lo</w:t>
      </w:r>
      <w:r w:rsidR="003B7CB5" w:rsidRPr="003B7CB5">
        <w:rPr>
          <w:rFonts w:ascii="Garamond" w:hAnsi="Garamond"/>
          <w:color w:val="111111"/>
          <w:sz w:val="24"/>
          <w:szCs w:val="24"/>
          <w:shd w:val="clear" w:color="auto" w:fill="FFFFFF"/>
        </w:rPr>
        <w:t xml:space="preserve">sses from financing in the UUS </w:t>
      </w:r>
      <w:r w:rsidRPr="003B7CB5">
        <w:rPr>
          <w:rFonts w:ascii="Garamond" w:hAnsi="Garamond"/>
          <w:color w:val="111111"/>
          <w:sz w:val="24"/>
          <w:szCs w:val="24"/>
          <w:shd w:val="clear" w:color="auto" w:fill="FFFFFF"/>
        </w:rPr>
        <w:t>an</w:t>
      </w:r>
      <w:r w:rsidR="003B7CB5" w:rsidRPr="003B7CB5">
        <w:rPr>
          <w:rFonts w:ascii="Garamond" w:hAnsi="Garamond"/>
          <w:color w:val="111111"/>
          <w:sz w:val="24"/>
          <w:szCs w:val="24"/>
          <w:shd w:val="clear" w:color="auto" w:fill="FFFFFF"/>
          <w:lang w:val="id-ID"/>
        </w:rPr>
        <w:t>d</w:t>
      </w:r>
      <w:r w:rsidRPr="003B7CB5">
        <w:rPr>
          <w:rFonts w:ascii="Garamond" w:hAnsi="Garamond"/>
          <w:color w:val="111111"/>
          <w:sz w:val="24"/>
          <w:szCs w:val="24"/>
          <w:shd w:val="clear" w:color="auto" w:fill="FFFFFF"/>
        </w:rPr>
        <w:t xml:space="preserve"> BUSS, financing can be categorized as problematic if there is a delay in payment of principal and profit-sharing, receivables are not paid so it is considered necessary to negotiate and carried out with the approval of financing for customers who experience a decrease income and decrease inability to meet obligations and still have business prospects after the restructuring period.  </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color w:val="111111"/>
          <w:sz w:val="24"/>
          <w:szCs w:val="24"/>
          <w:shd w:val="clear" w:color="auto" w:fill="FFFFFF"/>
        </w:rPr>
        <w:t xml:space="preserve">With various </w:t>
      </w:r>
      <w:r w:rsidR="003B7CB5" w:rsidRPr="003B7CB5">
        <w:rPr>
          <w:rFonts w:ascii="Garamond" w:hAnsi="Garamond"/>
          <w:color w:val="111111"/>
          <w:sz w:val="24"/>
          <w:szCs w:val="24"/>
          <w:shd w:val="clear" w:color="auto" w:fill="FFFFFF"/>
        </w:rPr>
        <w:t>forms</w:t>
      </w:r>
      <w:r w:rsidRPr="003B7CB5">
        <w:rPr>
          <w:rFonts w:ascii="Garamond" w:hAnsi="Garamond"/>
          <w:color w:val="111111"/>
          <w:sz w:val="24"/>
          <w:szCs w:val="24"/>
          <w:shd w:val="clear" w:color="auto" w:fill="FFFFFF"/>
        </w:rPr>
        <w:t xml:space="preserve"> of agreements in financing that can be adjusted to the needs of customers, facilities in the process of financing analysis, according to </w:t>
      </w:r>
      <w:r w:rsidRPr="003B7CB5">
        <w:rPr>
          <w:rStyle w:val="FootnoteReference"/>
          <w:rFonts w:ascii="Garamond" w:hAnsi="Garamond"/>
          <w:color w:val="111111"/>
          <w:sz w:val="24"/>
          <w:szCs w:val="24"/>
          <w:shd w:val="clear" w:color="auto" w:fill="FFFFFF"/>
        </w:rPr>
        <w:footnoteReference w:id="21"/>
      </w:r>
      <w:r w:rsidRPr="003B7CB5">
        <w:rPr>
          <w:rFonts w:ascii="Garamond" w:hAnsi="Garamond"/>
          <w:color w:val="111111"/>
          <w:sz w:val="24"/>
          <w:szCs w:val="24"/>
          <w:shd w:val="clear" w:color="auto" w:fill="FFFFFF"/>
        </w:rPr>
        <w:t xml:space="preserve">  that financing becomes important because it can increase the accelerator of business improvement. How restructuring conducted by banks in the face of </w:t>
      </w:r>
      <w:r w:rsidRPr="003B7CB5">
        <w:rPr>
          <w:rFonts w:ascii="Garamond" w:hAnsi="Garamond"/>
          <w:color w:val="111111"/>
          <w:sz w:val="24"/>
          <w:szCs w:val="24"/>
          <w:shd w:val="clear" w:color="auto" w:fill="FFFFFF"/>
        </w:rPr>
        <w:lastRenderedPageBreak/>
        <w:t xml:space="preserve">problematic financing is sometimes adjusted to the problem of the cause or characteristics of the customer’s business and the characteristics of the form of financing to help customers complete their obligations and the risk of bank losses can also be resolved.  </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rPr>
      </w:pPr>
      <w:r w:rsidRPr="003B7CB5">
        <w:rPr>
          <w:rFonts w:ascii="Garamond" w:hAnsi="Garamond"/>
          <w:color w:val="111111"/>
          <w:sz w:val="24"/>
          <w:szCs w:val="24"/>
          <w:shd w:val="clear" w:color="auto" w:fill="FFFFFF"/>
        </w:rPr>
        <w:t xml:space="preserve">Pandemic conditions resulted in fluctuations in financial ratios, both conventional and </w:t>
      </w:r>
      <w:proofErr w:type="spellStart"/>
      <w:r w:rsidRPr="003B7CB5">
        <w:rPr>
          <w:rFonts w:ascii="Garamond" w:hAnsi="Garamond"/>
          <w:i/>
          <w:color w:val="111111"/>
          <w:sz w:val="24"/>
          <w:szCs w:val="24"/>
          <w:shd w:val="clear" w:color="auto" w:fill="FFFFFF"/>
        </w:rPr>
        <w:t>shari'ah</w:t>
      </w:r>
      <w:proofErr w:type="spellEnd"/>
      <w:r w:rsidRPr="003B7CB5">
        <w:rPr>
          <w:rFonts w:ascii="Garamond" w:hAnsi="Garamond"/>
          <w:color w:val="111111"/>
          <w:sz w:val="24"/>
          <w:szCs w:val="24"/>
          <w:shd w:val="clear" w:color="auto" w:fill="FFFFFF"/>
        </w:rPr>
        <w:t>, in the study</w:t>
      </w:r>
      <w:r w:rsidRPr="003B7CB5">
        <w:rPr>
          <w:rStyle w:val="FootnoteReference"/>
          <w:rFonts w:ascii="Garamond" w:hAnsi="Garamond"/>
          <w:color w:val="111111"/>
          <w:sz w:val="24"/>
          <w:szCs w:val="24"/>
          <w:shd w:val="clear" w:color="auto" w:fill="FFFFFF"/>
        </w:rPr>
        <w:footnoteReference w:id="22"/>
      </w:r>
      <w:r w:rsidRPr="003B7CB5">
        <w:rPr>
          <w:rFonts w:ascii="Garamond" w:hAnsi="Garamond"/>
          <w:color w:val="111111"/>
          <w:sz w:val="24"/>
          <w:szCs w:val="24"/>
          <w:shd w:val="clear" w:color="auto" w:fill="FFFFFF"/>
        </w:rPr>
        <w:t xml:space="preserve">, showing that the financial ratio condition of </w:t>
      </w:r>
      <w:proofErr w:type="spellStart"/>
      <w:r w:rsidRPr="003B7CB5">
        <w:rPr>
          <w:rFonts w:ascii="Garamond" w:hAnsi="Garamond"/>
          <w:i/>
          <w:color w:val="111111"/>
          <w:sz w:val="24"/>
          <w:szCs w:val="24"/>
          <w:shd w:val="clear" w:color="auto" w:fill="FFFFFF"/>
        </w:rPr>
        <w:t>shari'ah</w:t>
      </w:r>
      <w:proofErr w:type="spellEnd"/>
      <w:r w:rsidRPr="003B7CB5">
        <w:rPr>
          <w:rFonts w:ascii="Garamond" w:hAnsi="Garamond"/>
          <w:color w:val="111111"/>
          <w:sz w:val="24"/>
          <w:szCs w:val="24"/>
          <w:shd w:val="clear" w:color="auto" w:fill="FFFFFF"/>
        </w:rPr>
        <w:t xml:space="preserve"> banks is less healthy in terms of average return on assets, equity, and financing to deposit ratio. One of the risks that are often faced by banks is non-performing financing</w:t>
      </w:r>
      <w:r w:rsidRPr="003B7CB5">
        <w:rPr>
          <w:rStyle w:val="FootnoteReference"/>
          <w:rFonts w:ascii="Garamond" w:hAnsi="Garamond"/>
          <w:color w:val="111111"/>
          <w:sz w:val="24"/>
          <w:szCs w:val="24"/>
          <w:shd w:val="clear" w:color="auto" w:fill="FFFFFF"/>
        </w:rPr>
        <w:footnoteReference w:id="23"/>
      </w:r>
      <w:r w:rsidRPr="003B7CB5">
        <w:rPr>
          <w:rFonts w:ascii="Garamond" w:hAnsi="Garamond"/>
          <w:color w:val="111111"/>
          <w:sz w:val="24"/>
          <w:szCs w:val="24"/>
          <w:shd w:val="clear" w:color="auto" w:fill="FFFFFF"/>
        </w:rPr>
        <w:t>, in his research in Jordan in 2014 at the bank showed Cordial Hasan financing had a low risk of default of up to 1% compared to a non-performing ratio of 5,6%. While in the study</w:t>
      </w:r>
      <w:r w:rsidRPr="003B7CB5">
        <w:rPr>
          <w:rStyle w:val="FootnoteReference"/>
          <w:rFonts w:ascii="Garamond" w:hAnsi="Garamond"/>
          <w:color w:val="111111"/>
          <w:sz w:val="24"/>
          <w:szCs w:val="24"/>
          <w:shd w:val="clear" w:color="auto" w:fill="FFFFFF"/>
        </w:rPr>
        <w:footnoteReference w:id="24"/>
      </w:r>
      <w:r w:rsidRPr="003B7CB5">
        <w:rPr>
          <w:rFonts w:ascii="Garamond" w:hAnsi="Garamond"/>
          <w:color w:val="111111"/>
          <w:sz w:val="24"/>
          <w:szCs w:val="24"/>
          <w:shd w:val="clear" w:color="auto" w:fill="FFFFFF"/>
        </w:rPr>
        <w:t xml:space="preserve"> on 11 buses in 2011-2016 alone pointed out that the financing of </w:t>
      </w:r>
      <w:proofErr w:type="spellStart"/>
      <w:r w:rsidRPr="003B7CB5">
        <w:rPr>
          <w:rFonts w:ascii="Garamond" w:hAnsi="Garamond"/>
          <w:i/>
          <w:color w:val="111111"/>
          <w:sz w:val="24"/>
          <w:szCs w:val="24"/>
          <w:shd w:val="clear" w:color="auto" w:fill="FFFFFF"/>
        </w:rPr>
        <w:t>qordul</w:t>
      </w:r>
      <w:proofErr w:type="spellEnd"/>
      <w:r w:rsidRPr="003B7CB5">
        <w:rPr>
          <w:rFonts w:ascii="Garamond" w:hAnsi="Garamond"/>
          <w:i/>
          <w:color w:val="111111"/>
          <w:sz w:val="24"/>
          <w:szCs w:val="24"/>
          <w:shd w:val="clear" w:color="auto" w:fill="FFFFFF"/>
        </w:rPr>
        <w:t xml:space="preserve"> hasan</w:t>
      </w:r>
      <w:r w:rsidRPr="003B7CB5">
        <w:rPr>
          <w:rFonts w:ascii="Garamond" w:hAnsi="Garamond"/>
          <w:color w:val="111111"/>
          <w:sz w:val="24"/>
          <w:szCs w:val="24"/>
          <w:shd w:val="clear" w:color="auto" w:fill="FFFFFF"/>
        </w:rPr>
        <w:t xml:space="preserve"> and </w:t>
      </w:r>
      <w:proofErr w:type="spellStart"/>
      <w:r w:rsidRPr="003B7CB5">
        <w:rPr>
          <w:rFonts w:ascii="Garamond" w:hAnsi="Garamond"/>
          <w:i/>
          <w:color w:val="111111"/>
          <w:sz w:val="24"/>
          <w:szCs w:val="24"/>
          <w:shd w:val="clear" w:color="auto" w:fill="FFFFFF"/>
        </w:rPr>
        <w:t>musyarakah</w:t>
      </w:r>
      <w:proofErr w:type="spellEnd"/>
      <w:r w:rsidRPr="003B7CB5">
        <w:rPr>
          <w:rFonts w:ascii="Garamond" w:hAnsi="Garamond"/>
          <w:color w:val="111111"/>
          <w:sz w:val="24"/>
          <w:szCs w:val="24"/>
          <w:shd w:val="clear" w:color="auto" w:fill="FFFFFF"/>
        </w:rPr>
        <w:t xml:space="preserve"> did not show its effect on NPF and the positive effect was </w:t>
      </w:r>
      <w:proofErr w:type="spellStart"/>
      <w:r w:rsidRPr="003B7CB5">
        <w:rPr>
          <w:rFonts w:ascii="Garamond" w:hAnsi="Garamond"/>
          <w:color w:val="111111"/>
          <w:sz w:val="24"/>
          <w:szCs w:val="24"/>
          <w:shd w:val="clear" w:color="auto" w:fill="FFFFFF"/>
        </w:rPr>
        <w:t>mudharabah</w:t>
      </w:r>
      <w:proofErr w:type="spellEnd"/>
      <w:r w:rsidRPr="003B7CB5">
        <w:rPr>
          <w:rFonts w:ascii="Garamond" w:hAnsi="Garamond"/>
          <w:color w:val="111111"/>
          <w:sz w:val="24"/>
          <w:szCs w:val="24"/>
          <w:shd w:val="clear" w:color="auto" w:fill="FFFFFF"/>
        </w:rPr>
        <w:t xml:space="preserve"> financing while the negative effect was</w:t>
      </w:r>
      <w:r w:rsidRPr="003B7CB5">
        <w:rPr>
          <w:rFonts w:ascii="Garamond" w:hAnsi="Garamond"/>
          <w:i/>
          <w:color w:val="111111"/>
          <w:sz w:val="24"/>
          <w:szCs w:val="24"/>
          <w:shd w:val="clear" w:color="auto" w:fill="FFFFFF"/>
        </w:rPr>
        <w:t xml:space="preserve"> </w:t>
      </w:r>
      <w:proofErr w:type="spellStart"/>
      <w:r w:rsidRPr="003B7CB5">
        <w:rPr>
          <w:rFonts w:ascii="Garamond" w:hAnsi="Garamond"/>
          <w:i/>
          <w:color w:val="111111"/>
          <w:sz w:val="24"/>
          <w:szCs w:val="24"/>
          <w:shd w:val="clear" w:color="auto" w:fill="FFFFFF"/>
        </w:rPr>
        <w:t>murabahah</w:t>
      </w:r>
      <w:proofErr w:type="spellEnd"/>
      <w:r w:rsidRPr="003B7CB5">
        <w:rPr>
          <w:rFonts w:ascii="Garamond" w:hAnsi="Garamond"/>
          <w:color w:val="111111"/>
          <w:sz w:val="24"/>
          <w:szCs w:val="24"/>
          <w:shd w:val="clear" w:color="auto" w:fill="FFFFFF"/>
        </w:rPr>
        <w:t xml:space="preserve"> financing. This leads to there will always be problematic financing in various schemes, this requires a policy that is preventive and curative as a form of anticipation</w:t>
      </w:r>
    </w:p>
    <w:p w:rsidR="000E0E96" w:rsidRPr="003B7CB5" w:rsidRDefault="000E0E96" w:rsidP="003B7CB5">
      <w:pPr>
        <w:pStyle w:val="NoSpacing"/>
        <w:spacing w:after="120"/>
        <w:ind w:left="0" w:firstLine="709"/>
        <w:jc w:val="both"/>
        <w:rPr>
          <w:rFonts w:ascii="Garamond" w:hAnsi="Garamond"/>
          <w:color w:val="111111"/>
          <w:sz w:val="24"/>
          <w:szCs w:val="24"/>
          <w:shd w:val="clear" w:color="auto" w:fill="FFFFFF"/>
          <w:lang w:val="id-ID"/>
        </w:rPr>
      </w:pPr>
      <w:r w:rsidRPr="003B7CB5">
        <w:rPr>
          <w:rFonts w:ascii="Garamond" w:hAnsi="Garamond"/>
          <w:color w:val="111111"/>
          <w:sz w:val="24"/>
          <w:szCs w:val="24"/>
          <w:shd w:val="clear" w:color="auto" w:fill="FFFFFF"/>
        </w:rPr>
        <w:t xml:space="preserve">The restructuring review that the author found around financing </w:t>
      </w:r>
      <w:proofErr w:type="spellStart"/>
      <w:r w:rsidRPr="003B7CB5">
        <w:rPr>
          <w:rFonts w:ascii="Garamond" w:hAnsi="Garamond"/>
          <w:color w:val="111111"/>
          <w:sz w:val="24"/>
          <w:szCs w:val="24"/>
          <w:shd w:val="clear" w:color="auto" w:fill="FFFFFF"/>
        </w:rPr>
        <w:t>restucturization</w:t>
      </w:r>
      <w:proofErr w:type="spellEnd"/>
      <w:r w:rsidRPr="003B7CB5">
        <w:rPr>
          <w:rFonts w:ascii="Garamond" w:hAnsi="Garamond"/>
          <w:color w:val="111111"/>
          <w:sz w:val="24"/>
          <w:szCs w:val="24"/>
          <w:shd w:val="clear" w:color="auto" w:fill="FFFFFF"/>
        </w:rPr>
        <w:t xml:space="preserve"> as an effort to deal with problem financing restructuring of financing as an effort to deal with problem financing </w:t>
      </w:r>
      <w:r w:rsidRPr="003B7CB5">
        <w:rPr>
          <w:rStyle w:val="FootnoteReference"/>
          <w:rFonts w:ascii="Garamond" w:hAnsi="Garamond"/>
          <w:color w:val="111111"/>
          <w:sz w:val="24"/>
          <w:szCs w:val="24"/>
          <w:shd w:val="clear" w:color="auto" w:fill="FFFFFF"/>
        </w:rPr>
        <w:footnoteReference w:id="25"/>
      </w:r>
      <w:r w:rsidRPr="003B7CB5">
        <w:rPr>
          <w:rFonts w:ascii="Garamond" w:hAnsi="Garamond"/>
          <w:color w:val="111111"/>
          <w:sz w:val="24"/>
          <w:szCs w:val="24"/>
          <w:shd w:val="clear" w:color="auto" w:fill="FFFFFF"/>
        </w:rPr>
        <w:t>, restructuring as an effort to maintain stability in increasing NPF or Non-performing Financing which will affect the balance sheet portfolio</w:t>
      </w:r>
      <w:r w:rsidRPr="003B7CB5">
        <w:rPr>
          <w:rStyle w:val="FootnoteReference"/>
          <w:rFonts w:ascii="Garamond" w:hAnsi="Garamond"/>
          <w:sz w:val="24"/>
          <w:szCs w:val="24"/>
        </w:rPr>
        <w:footnoteReference w:id="26"/>
      </w:r>
      <w:r w:rsidRPr="003B7CB5">
        <w:rPr>
          <w:rFonts w:ascii="Garamond" w:hAnsi="Garamond"/>
          <w:sz w:val="24"/>
          <w:szCs w:val="24"/>
        </w:rPr>
        <w:t>,</w:t>
      </w:r>
      <w:r w:rsidRPr="003B7CB5">
        <w:rPr>
          <w:rFonts w:ascii="Garamond" w:hAnsi="Garamond"/>
          <w:color w:val="111111"/>
          <w:sz w:val="24"/>
          <w:szCs w:val="24"/>
          <w:shd w:val="clear" w:color="auto" w:fill="FFFFFF"/>
        </w:rPr>
        <w:t xml:space="preserve"> Restructuring of financing will have an impact on the liquidity of </w:t>
      </w:r>
      <w:r w:rsidRPr="003B7CB5">
        <w:rPr>
          <w:rFonts w:ascii="Garamond" w:hAnsi="Garamond"/>
          <w:i/>
          <w:color w:val="111111"/>
          <w:sz w:val="24"/>
          <w:szCs w:val="24"/>
          <w:shd w:val="clear" w:color="auto" w:fill="FFFFFF"/>
        </w:rPr>
        <w:t>Sharia</w:t>
      </w:r>
      <w:r w:rsidRPr="003B7CB5">
        <w:rPr>
          <w:rFonts w:ascii="Garamond" w:hAnsi="Garamond"/>
          <w:color w:val="111111"/>
          <w:sz w:val="24"/>
          <w:szCs w:val="24"/>
          <w:shd w:val="clear" w:color="auto" w:fill="FFFFFF"/>
        </w:rPr>
        <w:t xml:space="preserve"> Banks </w:t>
      </w:r>
      <w:r w:rsidRPr="003B7CB5">
        <w:rPr>
          <w:rStyle w:val="FootnoteReference"/>
          <w:rFonts w:ascii="Garamond" w:hAnsi="Garamond"/>
          <w:color w:val="111111"/>
          <w:sz w:val="24"/>
          <w:szCs w:val="24"/>
          <w:shd w:val="clear" w:color="auto" w:fill="FFFFFF"/>
        </w:rPr>
        <w:footnoteReference w:id="27"/>
      </w:r>
      <w:r w:rsidRPr="003B7CB5">
        <w:rPr>
          <w:rFonts w:ascii="Garamond" w:hAnsi="Garamond"/>
          <w:color w:val="111111"/>
          <w:sz w:val="24"/>
          <w:szCs w:val="24"/>
          <w:shd w:val="clear" w:color="auto" w:fill="FFFFFF"/>
        </w:rPr>
        <w:t xml:space="preserve">.The study </w:t>
      </w:r>
      <w:r w:rsidRPr="003B7CB5">
        <w:rPr>
          <w:rStyle w:val="FootnoteReference"/>
          <w:rFonts w:ascii="Garamond" w:hAnsi="Garamond"/>
          <w:color w:val="111111"/>
          <w:sz w:val="24"/>
          <w:szCs w:val="24"/>
          <w:shd w:val="clear" w:color="auto" w:fill="FFFFFF"/>
        </w:rPr>
        <w:footnoteReference w:id="28"/>
      </w:r>
      <w:r w:rsidRPr="003B7CB5">
        <w:rPr>
          <w:rFonts w:ascii="Garamond" w:hAnsi="Garamond"/>
          <w:color w:val="111111"/>
          <w:sz w:val="24"/>
          <w:szCs w:val="24"/>
          <w:shd w:val="clear" w:color="auto" w:fill="FFFFFF"/>
        </w:rPr>
        <w:t xml:space="preserve"> showed problematic financing into mediation that affects the financing of </w:t>
      </w:r>
      <w:proofErr w:type="spellStart"/>
      <w:r w:rsidRPr="003B7CB5">
        <w:rPr>
          <w:rFonts w:ascii="Garamond" w:hAnsi="Garamond"/>
          <w:i/>
          <w:color w:val="111111"/>
          <w:sz w:val="24"/>
          <w:szCs w:val="24"/>
          <w:shd w:val="clear" w:color="auto" w:fill="FFFFFF"/>
        </w:rPr>
        <w:t>Masyarakah</w:t>
      </w:r>
      <w:proofErr w:type="spellEnd"/>
      <w:r w:rsidRPr="003B7CB5">
        <w:rPr>
          <w:rFonts w:ascii="Garamond" w:hAnsi="Garamond"/>
          <w:color w:val="111111"/>
          <w:sz w:val="24"/>
          <w:szCs w:val="24"/>
          <w:shd w:val="clear" w:color="auto" w:fill="FFFFFF"/>
        </w:rPr>
        <w:t xml:space="preserve"> to </w:t>
      </w:r>
      <w:r w:rsidRPr="003B7CB5">
        <w:rPr>
          <w:rFonts w:ascii="Garamond" w:hAnsi="Garamond"/>
          <w:color w:val="111111"/>
          <w:sz w:val="24"/>
          <w:szCs w:val="24"/>
          <w:shd w:val="clear" w:color="auto" w:fill="FFFFFF"/>
        </w:rPr>
        <w:lastRenderedPageBreak/>
        <w:t>profitability.</w:t>
      </w:r>
      <w:r w:rsidR="003B7CB5" w:rsidRPr="003B7CB5">
        <w:rPr>
          <w:rFonts w:ascii="Garamond" w:hAnsi="Garamond"/>
          <w:color w:val="111111"/>
          <w:sz w:val="24"/>
          <w:szCs w:val="24"/>
          <w:shd w:val="clear" w:color="auto" w:fill="FFFFFF"/>
          <w:lang w:val="id-ID"/>
        </w:rPr>
        <w:t xml:space="preserve"> </w:t>
      </w:r>
      <w:r w:rsidRPr="003B7CB5">
        <w:rPr>
          <w:rFonts w:ascii="Garamond" w:hAnsi="Garamond"/>
          <w:sz w:val="24"/>
          <w:szCs w:val="24"/>
        </w:rPr>
        <w:t>I</w:t>
      </w:r>
      <w:r w:rsidRPr="003B7CB5">
        <w:rPr>
          <w:rFonts w:ascii="Garamond" w:hAnsi="Garamond"/>
          <w:color w:val="111111"/>
          <w:sz w:val="24"/>
          <w:szCs w:val="24"/>
          <w:shd w:val="clear" w:color="auto" w:fill="FFFFFF"/>
        </w:rPr>
        <w:t xml:space="preserve">t is considered important to conduct research on how </w:t>
      </w:r>
      <w:proofErr w:type="spellStart"/>
      <w:r w:rsidRPr="003B7CB5">
        <w:rPr>
          <w:rFonts w:ascii="Garamond" w:hAnsi="Garamond"/>
          <w:color w:val="111111"/>
          <w:sz w:val="24"/>
          <w:szCs w:val="24"/>
          <w:shd w:val="clear" w:color="auto" w:fill="FFFFFF"/>
        </w:rPr>
        <w:t>restucturization</w:t>
      </w:r>
      <w:proofErr w:type="spellEnd"/>
      <w:r w:rsidRPr="003B7CB5">
        <w:rPr>
          <w:rFonts w:ascii="Garamond" w:hAnsi="Garamond"/>
          <w:color w:val="111111"/>
          <w:sz w:val="24"/>
          <w:szCs w:val="24"/>
          <w:shd w:val="clear" w:color="auto" w:fill="FFFFFF"/>
        </w:rPr>
        <w:t xml:space="preserve"> in the study of </w:t>
      </w:r>
      <w:proofErr w:type="spellStart"/>
      <w:r w:rsidRPr="003B7CB5">
        <w:rPr>
          <w:rFonts w:ascii="Garamond" w:hAnsi="Garamond"/>
          <w:i/>
          <w:color w:val="111111"/>
          <w:sz w:val="24"/>
          <w:szCs w:val="24"/>
          <w:shd w:val="clear" w:color="auto" w:fill="FFFFFF"/>
        </w:rPr>
        <w:t>tadhbiqahkam</w:t>
      </w:r>
      <w:proofErr w:type="spellEnd"/>
      <w:r w:rsidRPr="003B7CB5">
        <w:rPr>
          <w:rFonts w:ascii="Garamond" w:hAnsi="Garamond"/>
          <w:color w:val="111111"/>
          <w:sz w:val="24"/>
          <w:szCs w:val="24"/>
          <w:shd w:val="clear" w:color="auto" w:fill="FFFFFF"/>
        </w:rPr>
        <w:t xml:space="preserve"> and its implementation. It is suspected that it not only contains elements of compliance with legislation, but contains elements of </w:t>
      </w:r>
      <w:proofErr w:type="spellStart"/>
      <w:r w:rsidRPr="003B7CB5">
        <w:rPr>
          <w:rFonts w:ascii="Garamond" w:hAnsi="Garamond"/>
          <w:i/>
          <w:color w:val="111111"/>
          <w:sz w:val="24"/>
          <w:szCs w:val="24"/>
          <w:shd w:val="clear" w:color="auto" w:fill="FFFFFF"/>
        </w:rPr>
        <w:t>shari'ah</w:t>
      </w:r>
      <w:proofErr w:type="spellEnd"/>
      <w:r w:rsidRPr="003B7CB5">
        <w:rPr>
          <w:rFonts w:ascii="Garamond" w:hAnsi="Garamond"/>
          <w:color w:val="111111"/>
          <w:sz w:val="24"/>
          <w:szCs w:val="24"/>
          <w:shd w:val="clear" w:color="auto" w:fill="FFFFFF"/>
        </w:rPr>
        <w:t xml:space="preserve"> compliance in achieving </w:t>
      </w:r>
      <w:r w:rsidRPr="003B7CB5">
        <w:rPr>
          <w:rFonts w:ascii="Garamond" w:hAnsi="Garamond"/>
          <w:i/>
          <w:color w:val="111111"/>
          <w:sz w:val="24"/>
          <w:szCs w:val="24"/>
          <w:shd w:val="clear" w:color="auto" w:fill="FFFFFF"/>
        </w:rPr>
        <w:t>maslahat</w:t>
      </w:r>
      <w:r w:rsidR="00CB3120" w:rsidRPr="003B7CB5">
        <w:rPr>
          <w:rFonts w:ascii="Garamond" w:hAnsi="Garamond"/>
          <w:color w:val="111111"/>
          <w:sz w:val="24"/>
          <w:szCs w:val="24"/>
          <w:shd w:val="clear" w:color="auto" w:fill="FFFFFF"/>
          <w:lang w:val="id-ID"/>
        </w:rPr>
        <w:t>.</w:t>
      </w:r>
    </w:p>
    <w:p w:rsidR="000E0E96" w:rsidRPr="003B7CB5" w:rsidRDefault="00CB3120" w:rsidP="003B7CB5">
      <w:pPr>
        <w:pStyle w:val="NoSpacing"/>
        <w:spacing w:after="120"/>
        <w:ind w:left="0"/>
        <w:jc w:val="both"/>
        <w:rPr>
          <w:rFonts w:ascii="Garamond" w:hAnsi="Garamond"/>
          <w:b/>
          <w:sz w:val="24"/>
          <w:szCs w:val="24"/>
        </w:rPr>
      </w:pPr>
      <w:r w:rsidRPr="003B7CB5">
        <w:rPr>
          <w:rFonts w:ascii="Garamond" w:hAnsi="Garamond"/>
          <w:b/>
          <w:sz w:val="24"/>
          <w:szCs w:val="24"/>
        </w:rPr>
        <w:t xml:space="preserve">MATERIALS AND METHODS </w:t>
      </w:r>
    </w:p>
    <w:p w:rsidR="000E0E96" w:rsidRPr="003B7CB5" w:rsidRDefault="000E0E96" w:rsidP="003B7CB5">
      <w:pPr>
        <w:pStyle w:val="NoSpacing"/>
        <w:spacing w:after="120"/>
        <w:ind w:left="0"/>
        <w:jc w:val="both"/>
        <w:rPr>
          <w:rFonts w:ascii="Garamond" w:hAnsi="Garamond" w:cs="Times New Roman"/>
          <w:b/>
          <w:color w:val="111111"/>
          <w:sz w:val="24"/>
          <w:szCs w:val="24"/>
          <w:shd w:val="clear" w:color="auto" w:fill="FFFFFF"/>
        </w:rPr>
      </w:pPr>
      <w:r w:rsidRPr="003B7CB5">
        <w:rPr>
          <w:rFonts w:ascii="Garamond" w:hAnsi="Garamond" w:cs="Times New Roman"/>
          <w:b/>
          <w:color w:val="111111"/>
          <w:sz w:val="24"/>
          <w:szCs w:val="24"/>
          <w:shd w:val="clear" w:color="auto" w:fill="FFFFFF"/>
        </w:rPr>
        <w:t xml:space="preserve">Financing </w:t>
      </w:r>
      <w:proofErr w:type="spellStart"/>
      <w:r w:rsidRPr="003B7CB5">
        <w:rPr>
          <w:rFonts w:ascii="Garamond" w:hAnsi="Garamond" w:cs="Times New Roman"/>
          <w:b/>
          <w:color w:val="111111"/>
          <w:sz w:val="24"/>
          <w:szCs w:val="24"/>
          <w:shd w:val="clear" w:color="auto" w:fill="FFFFFF"/>
        </w:rPr>
        <w:t>Restucturization</w:t>
      </w:r>
      <w:proofErr w:type="spellEnd"/>
    </w:p>
    <w:p w:rsidR="000E0E96" w:rsidRPr="003B7CB5" w:rsidRDefault="000E0E96" w:rsidP="003B7CB5">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Financing according to </w:t>
      </w:r>
      <w:proofErr w:type="spellStart"/>
      <w:r w:rsidRPr="003B7CB5">
        <w:rPr>
          <w:rFonts w:ascii="Garamond" w:hAnsi="Garamond" w:cs="Times New Roman"/>
          <w:color w:val="111111"/>
          <w:sz w:val="24"/>
          <w:szCs w:val="24"/>
          <w:shd w:val="clear" w:color="auto" w:fill="FFFFFF"/>
        </w:rPr>
        <w:t>Dadang</w:t>
      </w:r>
      <w:proofErr w:type="spellEnd"/>
      <w:r w:rsidR="00CB3120" w:rsidRPr="003B7CB5">
        <w:rPr>
          <w:rFonts w:ascii="Garamond" w:hAnsi="Garamond" w:cs="Times New Roman"/>
          <w:color w:val="111111"/>
          <w:sz w:val="24"/>
          <w:szCs w:val="24"/>
          <w:shd w:val="clear" w:color="auto" w:fill="FFFFFF"/>
          <w:lang w:val="id-ID"/>
        </w:rPr>
        <w:t xml:space="preserve"> </w:t>
      </w:r>
      <w:proofErr w:type="spellStart"/>
      <w:r w:rsidRPr="003B7CB5">
        <w:rPr>
          <w:rFonts w:ascii="Garamond" w:hAnsi="Garamond" w:cs="Times New Roman"/>
          <w:color w:val="111111"/>
          <w:sz w:val="24"/>
          <w:szCs w:val="24"/>
          <w:shd w:val="clear" w:color="auto" w:fill="FFFFFF"/>
        </w:rPr>
        <w:t>Husen</w:t>
      </w:r>
      <w:proofErr w:type="spellEnd"/>
      <w:r w:rsidRPr="003B7CB5">
        <w:rPr>
          <w:rStyle w:val="FootnoteReference"/>
          <w:rFonts w:ascii="Garamond" w:hAnsi="Garamond"/>
          <w:sz w:val="24"/>
          <w:szCs w:val="24"/>
        </w:rPr>
        <w:footnoteReference w:id="29"/>
      </w:r>
      <w:r w:rsidRPr="003B7CB5">
        <w:rPr>
          <w:rFonts w:ascii="Garamond" w:hAnsi="Garamond" w:cs="Times New Roman"/>
          <w:color w:val="111111"/>
          <w:sz w:val="24"/>
          <w:szCs w:val="24"/>
          <w:shd w:val="clear" w:color="auto" w:fill="FFFFFF"/>
        </w:rPr>
        <w:t>, is one of the three functions of the bank in channeling excess funds to customers to increase production and business. While commercial bank financing, according to Endah</w:t>
      </w:r>
      <w:r w:rsidRPr="003B7CB5">
        <w:rPr>
          <w:rStyle w:val="FootnoteReference"/>
          <w:rFonts w:ascii="Garamond" w:hAnsi="Garamond"/>
          <w:sz w:val="24"/>
          <w:szCs w:val="24"/>
        </w:rPr>
        <w:footnoteReference w:id="30"/>
      </w:r>
      <w:r w:rsidRPr="003B7CB5">
        <w:rPr>
          <w:rFonts w:ascii="Garamond" w:hAnsi="Garamond" w:cs="Times New Roman"/>
          <w:color w:val="111111"/>
          <w:sz w:val="24"/>
          <w:szCs w:val="24"/>
          <w:shd w:val="clear" w:color="auto" w:fill="FFFFFF"/>
        </w:rPr>
        <w:t>,</w:t>
      </w:r>
      <w:r w:rsidR="00CB3120" w:rsidRPr="003B7CB5">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as a credit transaction between banks with customers in terms of meeting money needs</w:t>
      </w:r>
      <w:r w:rsidRPr="003B7CB5">
        <w:rPr>
          <w:rStyle w:val="FootnoteReference"/>
          <w:rFonts w:ascii="Garamond" w:hAnsi="Garamond"/>
          <w:sz w:val="24"/>
          <w:szCs w:val="24"/>
        </w:rPr>
        <w:footnoteReference w:id="31"/>
      </w:r>
      <w:r w:rsidRPr="003B7CB5">
        <w:rPr>
          <w:rFonts w:ascii="Garamond" w:hAnsi="Garamond" w:cs="Times New Roman"/>
          <w:color w:val="111111"/>
          <w:sz w:val="24"/>
          <w:szCs w:val="24"/>
          <w:shd w:val="clear" w:color="auto" w:fill="FFFFFF"/>
        </w:rPr>
        <w:t>,</w:t>
      </w:r>
      <w:r w:rsidR="00CB3120" w:rsidRPr="003B7CB5">
        <w:rPr>
          <w:rFonts w:ascii="Garamond" w:hAnsi="Garamond" w:cs="Times New Roman"/>
          <w:color w:val="111111"/>
          <w:sz w:val="24"/>
          <w:szCs w:val="24"/>
          <w:shd w:val="clear" w:color="auto" w:fill="FFFFFF"/>
          <w:lang w:val="id-ID"/>
        </w:rPr>
        <w:t xml:space="preserve"> </w:t>
      </w:r>
      <w:r w:rsidR="00CB3120" w:rsidRPr="003B7CB5">
        <w:rPr>
          <w:rFonts w:ascii="Garamond" w:hAnsi="Garamond" w:cs="Times New Roman"/>
          <w:color w:val="111111"/>
          <w:sz w:val="24"/>
          <w:szCs w:val="24"/>
          <w:shd w:val="clear" w:color="auto" w:fill="FFFFFF"/>
        </w:rPr>
        <w:t>financing</w:t>
      </w:r>
      <w:r w:rsidRPr="003B7CB5">
        <w:rPr>
          <w:rFonts w:ascii="Garamond" w:hAnsi="Garamond" w:cs="Times New Roman"/>
          <w:color w:val="111111"/>
          <w:sz w:val="24"/>
          <w:szCs w:val="24"/>
          <w:shd w:val="clear" w:color="auto" w:fill="FFFFFF"/>
        </w:rPr>
        <w:t xml:space="preserve"> as one of the functions of financial institutions is reviewed from the services of financial providers.</w:t>
      </w:r>
      <w:r w:rsidR="00CB3120" w:rsidRPr="003B7CB5">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Providing consumer fulfillment in financing consumptive, productive, and investment needs, and meeting customer needs in saving assets into investment value. </w:t>
      </w:r>
    </w:p>
    <w:p w:rsidR="000E0E96" w:rsidRPr="003B7CB5" w:rsidRDefault="000E0E96" w:rsidP="003B7CB5">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BI Regulation number 13/9/PBI/2011, in article 1 paragraph 7 states that financing </w:t>
      </w:r>
      <w:proofErr w:type="spellStart"/>
      <w:r w:rsidRPr="003B7CB5">
        <w:rPr>
          <w:rFonts w:ascii="Garamond" w:hAnsi="Garamond" w:cs="Times New Roman"/>
          <w:color w:val="111111"/>
          <w:sz w:val="24"/>
          <w:szCs w:val="24"/>
          <w:shd w:val="clear" w:color="auto" w:fill="FFFFFF"/>
        </w:rPr>
        <w:t>restukturization</w:t>
      </w:r>
      <w:proofErr w:type="spellEnd"/>
      <w:r w:rsidRPr="003B7CB5">
        <w:rPr>
          <w:rFonts w:ascii="Garamond" w:hAnsi="Garamond" w:cs="Times New Roman"/>
          <w:color w:val="111111"/>
          <w:sz w:val="24"/>
          <w:szCs w:val="24"/>
          <w:shd w:val="clear" w:color="auto" w:fill="FFFFFF"/>
        </w:rPr>
        <w:t xml:space="preserve"> is an effort made by banks in helping their customers when they have difficulty returning loans. The legal basis of financing </w:t>
      </w:r>
      <w:proofErr w:type="spellStart"/>
      <w:r w:rsidRPr="003B7CB5">
        <w:rPr>
          <w:rFonts w:ascii="Garamond" w:hAnsi="Garamond" w:cs="Times New Roman"/>
          <w:color w:val="111111"/>
          <w:sz w:val="24"/>
          <w:szCs w:val="24"/>
          <w:shd w:val="clear" w:color="auto" w:fill="FFFFFF"/>
        </w:rPr>
        <w:t>restucturization</w:t>
      </w:r>
      <w:proofErr w:type="spellEnd"/>
      <w:r w:rsidRPr="003B7CB5">
        <w:rPr>
          <w:rFonts w:ascii="Garamond" w:hAnsi="Garamond" w:cs="Times New Roman"/>
          <w:color w:val="111111"/>
          <w:sz w:val="24"/>
          <w:szCs w:val="24"/>
          <w:shd w:val="clear" w:color="auto" w:fill="FFFFFF"/>
        </w:rPr>
        <w:t xml:space="preserve"> can be seen in government policy through the Regulation of the Financial Services Authority</w:t>
      </w:r>
      <w:r w:rsidRPr="003B7CB5">
        <w:rPr>
          <w:rStyle w:val="FootnoteReference"/>
          <w:rFonts w:ascii="Garamond" w:hAnsi="Garamond"/>
          <w:sz w:val="24"/>
          <w:szCs w:val="24"/>
        </w:rPr>
        <w:footnoteReference w:id="32"/>
      </w:r>
      <w:r w:rsidRPr="003B7CB5">
        <w:rPr>
          <w:rFonts w:ascii="Garamond" w:hAnsi="Garamond" w:cs="Times New Roman"/>
          <w:color w:val="111111"/>
          <w:sz w:val="24"/>
          <w:szCs w:val="24"/>
          <w:shd w:val="clear" w:color="auto" w:fill="FFFFFF"/>
        </w:rPr>
        <w:t xml:space="preserve">,regarding economic stimulus and how </w:t>
      </w:r>
      <w:proofErr w:type="spellStart"/>
      <w:r w:rsidRPr="003B7CB5">
        <w:rPr>
          <w:rFonts w:ascii="Garamond" w:hAnsi="Garamond" w:cs="Times New Roman"/>
          <w:color w:val="111111"/>
          <w:sz w:val="24"/>
          <w:szCs w:val="24"/>
          <w:shd w:val="clear" w:color="auto" w:fill="FFFFFF"/>
        </w:rPr>
        <w:t>countercycals</w:t>
      </w:r>
      <w:proofErr w:type="spellEnd"/>
      <w:r w:rsidRPr="003B7CB5">
        <w:rPr>
          <w:rFonts w:ascii="Garamond" w:hAnsi="Garamond" w:cs="Times New Roman"/>
          <w:color w:val="111111"/>
          <w:sz w:val="24"/>
          <w:szCs w:val="24"/>
          <w:shd w:val="clear" w:color="auto" w:fill="FFFFFF"/>
        </w:rPr>
        <w:t xml:space="preserve"> deal with the impact of the Covid-19 pandemic, the implementation of financing refers to law no. 13 of 2008 </w:t>
      </w:r>
      <w:r w:rsidRPr="003B7CB5">
        <w:rPr>
          <w:rStyle w:val="FootnoteReference"/>
          <w:rFonts w:ascii="Garamond" w:hAnsi="Garamond"/>
          <w:sz w:val="24"/>
          <w:szCs w:val="24"/>
        </w:rPr>
        <w:footnoteReference w:id="33"/>
      </w:r>
      <w:r w:rsidRPr="003B7CB5">
        <w:rPr>
          <w:rFonts w:ascii="Garamond" w:hAnsi="Garamond" w:cs="Times New Roman"/>
          <w:color w:val="111111"/>
          <w:sz w:val="24"/>
          <w:szCs w:val="24"/>
          <w:shd w:val="clear" w:color="auto" w:fill="FFFFFF"/>
        </w:rPr>
        <w:t xml:space="preserve">No. 21 article 36 of 2008 and (PBI) Bank Indonesia Regulation No. 10/18/PBI/ 2008, "Bank Indonesia Regulation No. 10/18/PBI/2008 concerning Financing </w:t>
      </w:r>
      <w:proofErr w:type="spellStart"/>
      <w:r w:rsidRPr="003B7CB5">
        <w:rPr>
          <w:rFonts w:ascii="Garamond" w:hAnsi="Garamond" w:cs="Times New Roman"/>
          <w:color w:val="111111"/>
          <w:sz w:val="24"/>
          <w:szCs w:val="24"/>
          <w:shd w:val="clear" w:color="auto" w:fill="FFFFFF"/>
        </w:rPr>
        <w:t>Restukturization</w:t>
      </w:r>
      <w:proofErr w:type="spellEnd"/>
      <w:r w:rsidRPr="003B7CB5">
        <w:rPr>
          <w:rStyle w:val="FootnoteReference"/>
          <w:rFonts w:ascii="Garamond" w:hAnsi="Garamond"/>
          <w:sz w:val="24"/>
          <w:szCs w:val="24"/>
        </w:rPr>
        <w:footnoteReference w:id="34"/>
      </w:r>
      <w:r w:rsidRPr="003B7CB5">
        <w:rPr>
          <w:rFonts w:ascii="Garamond" w:hAnsi="Garamond" w:cs="Times New Roman"/>
          <w:color w:val="111111"/>
          <w:sz w:val="24"/>
          <w:szCs w:val="24"/>
          <w:shd w:val="clear" w:color="auto" w:fill="FFFFFF"/>
        </w:rPr>
        <w:t>which is amended by BI regulation number 13/9/PBI/2011, in article 1 paragraph 7 which states that financing restructuration is an effort made by banks in helping their customers when they have difficulty returning loans and circular letters of Bank Indonesia Number 10/34/</w:t>
      </w:r>
      <w:proofErr w:type="spellStart"/>
      <w:r w:rsidRPr="003B7CB5">
        <w:rPr>
          <w:rFonts w:ascii="Garamond" w:hAnsi="Garamond" w:cs="Times New Roman"/>
          <w:color w:val="111111"/>
          <w:sz w:val="24"/>
          <w:szCs w:val="24"/>
          <w:shd w:val="clear" w:color="auto" w:fill="FFFFFF"/>
        </w:rPr>
        <w:t>Dpbs</w:t>
      </w:r>
      <w:proofErr w:type="spellEnd"/>
      <w:r w:rsidRPr="003B7CB5">
        <w:rPr>
          <w:rFonts w:ascii="Garamond" w:hAnsi="Garamond" w:cs="Times New Roman"/>
          <w:color w:val="111111"/>
          <w:sz w:val="24"/>
          <w:szCs w:val="24"/>
          <w:shd w:val="clear" w:color="auto" w:fill="FFFFFF"/>
        </w:rPr>
        <w:t>/2008 concerning restructuration of financing in BUS and UUS, in addition to the conditions of the Covid-19 pandemic in Indonesia,  Many financings are constrained by returns, in POJK No. 11/POJK.03/2020</w:t>
      </w:r>
    </w:p>
    <w:p w:rsidR="000E0E96" w:rsidRPr="003B7CB5" w:rsidRDefault="000E0E96" w:rsidP="003B7CB5">
      <w:pPr>
        <w:pStyle w:val="NoSpacing"/>
        <w:spacing w:after="120"/>
        <w:ind w:left="0"/>
        <w:jc w:val="both"/>
        <w:rPr>
          <w:rFonts w:ascii="Garamond" w:hAnsi="Garamond"/>
          <w:b/>
          <w:sz w:val="24"/>
          <w:szCs w:val="24"/>
        </w:rPr>
      </w:pPr>
      <w:r w:rsidRPr="003B7CB5">
        <w:rPr>
          <w:rFonts w:ascii="Garamond" w:hAnsi="Garamond"/>
          <w:b/>
          <w:sz w:val="24"/>
          <w:szCs w:val="24"/>
        </w:rPr>
        <w:lastRenderedPageBreak/>
        <w:t>Metodologi</w:t>
      </w:r>
    </w:p>
    <w:p w:rsidR="000E0E96" w:rsidRPr="003B7CB5" w:rsidRDefault="000E0E96" w:rsidP="003B7CB5">
      <w:pPr>
        <w:pStyle w:val="NoSpacing"/>
        <w:spacing w:after="120"/>
        <w:ind w:left="0" w:firstLine="709"/>
        <w:jc w:val="both"/>
        <w:rPr>
          <w:rFonts w:ascii="Garamond" w:hAnsi="Garamond"/>
          <w:sz w:val="24"/>
          <w:szCs w:val="24"/>
          <w:lang w:val="id-ID"/>
        </w:rPr>
      </w:pPr>
      <w:r w:rsidRPr="003B7CB5">
        <w:rPr>
          <w:rFonts w:ascii="Garamond" w:hAnsi="Garamond"/>
          <w:sz w:val="24"/>
          <w:szCs w:val="24"/>
        </w:rPr>
        <w:t>This research uses qualitative methods with a library study approach.</w:t>
      </w:r>
      <w:r w:rsidR="003B7CB5" w:rsidRPr="003B7CB5">
        <w:rPr>
          <w:rFonts w:ascii="Garamond" w:hAnsi="Garamond"/>
          <w:sz w:val="24"/>
          <w:szCs w:val="24"/>
          <w:lang w:val="id-ID"/>
        </w:rPr>
        <w:t xml:space="preserve"> </w:t>
      </w:r>
      <w:r w:rsidRPr="003B7CB5">
        <w:rPr>
          <w:rFonts w:ascii="Garamond" w:hAnsi="Garamond"/>
          <w:sz w:val="24"/>
          <w:szCs w:val="24"/>
        </w:rPr>
        <w:t xml:space="preserve">According to </w:t>
      </w:r>
      <w:proofErr w:type="spellStart"/>
      <w:r w:rsidRPr="003B7CB5">
        <w:rPr>
          <w:rFonts w:ascii="Garamond" w:hAnsi="Garamond"/>
          <w:sz w:val="24"/>
          <w:szCs w:val="24"/>
        </w:rPr>
        <w:t>Boghan</w:t>
      </w:r>
      <w:proofErr w:type="spellEnd"/>
      <w:r w:rsidRPr="003B7CB5">
        <w:rPr>
          <w:rFonts w:ascii="Garamond" w:hAnsi="Garamond"/>
          <w:sz w:val="24"/>
          <w:szCs w:val="24"/>
        </w:rPr>
        <w:t xml:space="preserve"> and Taylor</w:t>
      </w:r>
      <w:r w:rsidRPr="003B7CB5">
        <w:rPr>
          <w:rStyle w:val="FootnoteReference"/>
          <w:rFonts w:ascii="Garamond" w:hAnsi="Garamond"/>
          <w:sz w:val="24"/>
          <w:szCs w:val="24"/>
        </w:rPr>
        <w:footnoteReference w:id="35"/>
      </w:r>
      <w:r w:rsidR="003B7CB5" w:rsidRPr="003B7CB5">
        <w:rPr>
          <w:rFonts w:ascii="Garamond" w:hAnsi="Garamond"/>
          <w:sz w:val="24"/>
          <w:szCs w:val="24"/>
          <w:lang w:val="id-ID"/>
        </w:rPr>
        <w:t xml:space="preserve"> </w:t>
      </w:r>
      <w:r w:rsidRPr="003B7CB5">
        <w:rPr>
          <w:rFonts w:ascii="Garamond" w:hAnsi="Garamond"/>
          <w:sz w:val="24"/>
          <w:szCs w:val="24"/>
        </w:rPr>
        <w:t>stated that qualitative research is a research procedure that produces descriptive data in the form of written or spoken words and observable behavior.</w:t>
      </w:r>
      <w:r w:rsidR="003B7CB5" w:rsidRPr="003B7CB5">
        <w:rPr>
          <w:rFonts w:ascii="Garamond" w:hAnsi="Garamond"/>
          <w:sz w:val="24"/>
          <w:szCs w:val="24"/>
          <w:lang w:val="id-ID"/>
        </w:rPr>
        <w:t xml:space="preserve"> </w:t>
      </w:r>
      <w:proofErr w:type="gramStart"/>
      <w:r w:rsidRPr="003B7CB5">
        <w:rPr>
          <w:rFonts w:ascii="Garamond" w:hAnsi="Garamond"/>
          <w:sz w:val="24"/>
          <w:szCs w:val="24"/>
        </w:rPr>
        <w:t xml:space="preserve">In analyzing the position of financing </w:t>
      </w:r>
      <w:proofErr w:type="spellStart"/>
      <w:r w:rsidRPr="003B7CB5">
        <w:rPr>
          <w:rFonts w:ascii="Garamond" w:hAnsi="Garamond"/>
          <w:sz w:val="24"/>
          <w:szCs w:val="24"/>
        </w:rPr>
        <w:t>restucturization</w:t>
      </w:r>
      <w:proofErr w:type="spellEnd"/>
      <w:r w:rsidRPr="003B7CB5">
        <w:rPr>
          <w:rFonts w:ascii="Garamond" w:hAnsi="Garamond"/>
          <w:sz w:val="24"/>
          <w:szCs w:val="24"/>
        </w:rPr>
        <w:t xml:space="preserve"> during the pandemic from the poi</w:t>
      </w:r>
      <w:r w:rsidR="003B7CB5" w:rsidRPr="003B7CB5">
        <w:rPr>
          <w:rFonts w:ascii="Garamond" w:hAnsi="Garamond"/>
          <w:sz w:val="24"/>
          <w:szCs w:val="24"/>
        </w:rPr>
        <w:t xml:space="preserve">nt of view of </w:t>
      </w:r>
      <w:proofErr w:type="spellStart"/>
      <w:r w:rsidR="003B7CB5" w:rsidRPr="003B7CB5">
        <w:rPr>
          <w:rFonts w:ascii="Garamond" w:hAnsi="Garamond"/>
          <w:i/>
          <w:sz w:val="24"/>
          <w:szCs w:val="24"/>
        </w:rPr>
        <w:t>maqasid</w:t>
      </w:r>
      <w:proofErr w:type="spellEnd"/>
      <w:r w:rsidR="003B7CB5" w:rsidRPr="003B7CB5">
        <w:rPr>
          <w:rFonts w:ascii="Garamond" w:hAnsi="Garamond"/>
          <w:i/>
          <w:sz w:val="24"/>
          <w:szCs w:val="24"/>
        </w:rPr>
        <w:t xml:space="preserve"> al-</w:t>
      </w:r>
      <w:proofErr w:type="spellStart"/>
      <w:r w:rsidR="003B7CB5" w:rsidRPr="003B7CB5">
        <w:rPr>
          <w:rFonts w:ascii="Garamond" w:hAnsi="Garamond"/>
          <w:i/>
          <w:sz w:val="24"/>
          <w:szCs w:val="24"/>
        </w:rPr>
        <w:t>syar'i</w:t>
      </w:r>
      <w:r w:rsidRPr="003B7CB5">
        <w:rPr>
          <w:rFonts w:ascii="Garamond" w:hAnsi="Garamond"/>
          <w:i/>
          <w:sz w:val="24"/>
          <w:szCs w:val="24"/>
        </w:rPr>
        <w:t>ah</w:t>
      </w:r>
      <w:proofErr w:type="spellEnd"/>
      <w:r w:rsidRPr="003B7CB5">
        <w:rPr>
          <w:rFonts w:ascii="Garamond" w:hAnsi="Garamond"/>
          <w:sz w:val="24"/>
          <w:szCs w:val="24"/>
        </w:rPr>
        <w:t>.</w:t>
      </w:r>
      <w:proofErr w:type="gramEnd"/>
      <w:r w:rsidRPr="003B7CB5">
        <w:rPr>
          <w:rFonts w:ascii="Garamond" w:hAnsi="Garamond"/>
          <w:sz w:val="24"/>
          <w:szCs w:val="24"/>
        </w:rPr>
        <w:t xml:space="preserve"> The instruments used in research are observations and documentation of the sources of books, books, journals, and other sources related to </w:t>
      </w:r>
      <w:proofErr w:type="gramStart"/>
      <w:r w:rsidRPr="003B7CB5">
        <w:rPr>
          <w:rFonts w:ascii="Garamond" w:hAnsi="Garamond"/>
          <w:sz w:val="24"/>
          <w:szCs w:val="24"/>
        </w:rPr>
        <w:t>the them</w:t>
      </w:r>
      <w:proofErr w:type="gramEnd"/>
      <w:r w:rsidRPr="003B7CB5">
        <w:rPr>
          <w:rFonts w:ascii="Garamond" w:hAnsi="Garamond"/>
          <w:sz w:val="24"/>
          <w:szCs w:val="24"/>
        </w:rPr>
        <w:t xml:space="preserve">. Data collected, presented and analyzed with reduction stages, verified and concluded with conclusions through the method of </w:t>
      </w:r>
      <w:proofErr w:type="spellStart"/>
      <w:r w:rsidRPr="003B7CB5">
        <w:rPr>
          <w:rFonts w:ascii="Garamond" w:hAnsi="Garamond"/>
          <w:i/>
          <w:sz w:val="24"/>
          <w:szCs w:val="24"/>
        </w:rPr>
        <w:t>ushul</w:t>
      </w:r>
      <w:proofErr w:type="spellEnd"/>
      <w:r w:rsidRPr="003B7CB5">
        <w:rPr>
          <w:rFonts w:ascii="Garamond" w:hAnsi="Garamond"/>
          <w:i/>
          <w:sz w:val="24"/>
          <w:szCs w:val="24"/>
        </w:rPr>
        <w:t xml:space="preserve"> fiqih</w:t>
      </w:r>
      <w:r w:rsidRPr="003B7CB5">
        <w:rPr>
          <w:rFonts w:ascii="Garamond" w:hAnsi="Garamond"/>
          <w:sz w:val="24"/>
          <w:szCs w:val="24"/>
        </w:rPr>
        <w:t xml:space="preserve">, analysis of </w:t>
      </w:r>
      <w:proofErr w:type="spellStart"/>
      <w:r w:rsidRPr="003B7CB5">
        <w:rPr>
          <w:rFonts w:ascii="Garamond" w:hAnsi="Garamond"/>
          <w:i/>
          <w:sz w:val="24"/>
          <w:szCs w:val="24"/>
        </w:rPr>
        <w:t>ahkaminstimbat</w:t>
      </w:r>
      <w:proofErr w:type="spellEnd"/>
      <w:r w:rsidRPr="003B7CB5">
        <w:rPr>
          <w:rFonts w:ascii="Garamond" w:hAnsi="Garamond"/>
          <w:sz w:val="24"/>
          <w:szCs w:val="24"/>
        </w:rPr>
        <w:t xml:space="preserve">, relating to the causes and conditions of application of </w:t>
      </w:r>
      <w:proofErr w:type="spellStart"/>
      <w:r w:rsidR="003B7CB5" w:rsidRPr="003B7CB5">
        <w:rPr>
          <w:rFonts w:ascii="Garamond" w:hAnsi="Garamond"/>
          <w:i/>
          <w:sz w:val="24"/>
          <w:szCs w:val="24"/>
        </w:rPr>
        <w:t>maqashid</w:t>
      </w:r>
      <w:proofErr w:type="spellEnd"/>
      <w:r w:rsidR="003B7CB5" w:rsidRPr="003B7CB5">
        <w:rPr>
          <w:rFonts w:ascii="Garamond" w:hAnsi="Garamond"/>
          <w:i/>
          <w:sz w:val="24"/>
          <w:szCs w:val="24"/>
        </w:rPr>
        <w:t xml:space="preserve"> al-</w:t>
      </w:r>
      <w:proofErr w:type="spellStart"/>
      <w:r w:rsidR="003B7CB5" w:rsidRPr="003B7CB5">
        <w:rPr>
          <w:rFonts w:ascii="Garamond" w:hAnsi="Garamond"/>
          <w:i/>
          <w:sz w:val="24"/>
          <w:szCs w:val="24"/>
        </w:rPr>
        <w:t>syar'i</w:t>
      </w:r>
      <w:r w:rsidRPr="003B7CB5">
        <w:rPr>
          <w:rFonts w:ascii="Garamond" w:hAnsi="Garamond"/>
          <w:i/>
          <w:sz w:val="24"/>
          <w:szCs w:val="24"/>
        </w:rPr>
        <w:t>ah</w:t>
      </w:r>
      <w:proofErr w:type="spellEnd"/>
      <w:r w:rsidRPr="003B7CB5">
        <w:rPr>
          <w:rFonts w:ascii="Garamond" w:hAnsi="Garamond"/>
          <w:sz w:val="24"/>
          <w:szCs w:val="24"/>
        </w:rPr>
        <w:t xml:space="preserve"> in financing </w:t>
      </w:r>
      <w:proofErr w:type="spellStart"/>
      <w:r w:rsidRPr="003B7CB5">
        <w:rPr>
          <w:rFonts w:ascii="Garamond" w:hAnsi="Garamond"/>
          <w:sz w:val="24"/>
          <w:szCs w:val="24"/>
        </w:rPr>
        <w:t>restucturization</w:t>
      </w:r>
      <w:proofErr w:type="spellEnd"/>
      <w:r w:rsidR="003B7CB5" w:rsidRPr="003B7CB5">
        <w:rPr>
          <w:rFonts w:ascii="Garamond" w:hAnsi="Garamond"/>
          <w:sz w:val="24"/>
          <w:szCs w:val="24"/>
          <w:lang w:val="id-ID"/>
        </w:rPr>
        <w:t>.</w:t>
      </w:r>
    </w:p>
    <w:p w:rsidR="000E0E96" w:rsidRPr="003B7CB5" w:rsidRDefault="003B7CB5" w:rsidP="003B7CB5">
      <w:pPr>
        <w:pStyle w:val="NoSpacing"/>
        <w:spacing w:after="120"/>
        <w:ind w:left="0"/>
        <w:jc w:val="both"/>
        <w:rPr>
          <w:rFonts w:ascii="Garamond" w:hAnsi="Garamond"/>
          <w:b/>
          <w:sz w:val="24"/>
          <w:szCs w:val="24"/>
        </w:rPr>
      </w:pPr>
      <w:r w:rsidRPr="003B7CB5">
        <w:rPr>
          <w:rFonts w:ascii="Garamond" w:hAnsi="Garamond"/>
          <w:b/>
          <w:sz w:val="24"/>
          <w:szCs w:val="24"/>
        </w:rPr>
        <w:t xml:space="preserve">RESULTS AND DISCUSSION </w:t>
      </w:r>
    </w:p>
    <w:p w:rsidR="000E0E96" w:rsidRPr="003B7CB5" w:rsidRDefault="000E0E96" w:rsidP="003B7CB5">
      <w:pPr>
        <w:pStyle w:val="NoSpacing"/>
        <w:spacing w:after="120"/>
        <w:ind w:left="0"/>
        <w:jc w:val="both"/>
        <w:rPr>
          <w:rFonts w:ascii="Garamond" w:hAnsi="Garamond"/>
          <w:b/>
          <w:sz w:val="24"/>
          <w:szCs w:val="24"/>
        </w:rPr>
      </w:pPr>
      <w:r w:rsidRPr="003B7CB5">
        <w:rPr>
          <w:rFonts w:ascii="Garamond" w:hAnsi="Garamond"/>
          <w:b/>
          <w:sz w:val="24"/>
          <w:szCs w:val="24"/>
        </w:rPr>
        <w:t xml:space="preserve">Harmonization of </w:t>
      </w:r>
      <w:proofErr w:type="spellStart"/>
      <w:r w:rsidRPr="003B7CB5">
        <w:rPr>
          <w:rFonts w:ascii="Garamond" w:hAnsi="Garamond"/>
          <w:b/>
          <w:sz w:val="24"/>
          <w:szCs w:val="24"/>
        </w:rPr>
        <w:t>syar'iah</w:t>
      </w:r>
      <w:proofErr w:type="spellEnd"/>
      <w:r w:rsidRPr="003B7CB5">
        <w:rPr>
          <w:rFonts w:ascii="Garamond" w:hAnsi="Garamond"/>
          <w:b/>
          <w:sz w:val="24"/>
          <w:szCs w:val="24"/>
        </w:rPr>
        <w:t xml:space="preserve"> policy with </w:t>
      </w:r>
      <w:proofErr w:type="spellStart"/>
      <w:r w:rsidRPr="003B7CB5">
        <w:rPr>
          <w:rFonts w:ascii="Garamond" w:hAnsi="Garamond"/>
          <w:b/>
          <w:sz w:val="24"/>
          <w:szCs w:val="24"/>
        </w:rPr>
        <w:t>maqashidsyar'iah</w:t>
      </w:r>
      <w:proofErr w:type="spellEnd"/>
      <w:r w:rsidRPr="003B7CB5">
        <w:rPr>
          <w:rFonts w:ascii="Garamond" w:hAnsi="Garamond"/>
          <w:b/>
          <w:sz w:val="24"/>
          <w:szCs w:val="24"/>
        </w:rPr>
        <w:t xml:space="preserve"> approach using </w:t>
      </w:r>
      <w:proofErr w:type="spellStart"/>
      <w:r w:rsidRPr="003B7CB5">
        <w:rPr>
          <w:rFonts w:ascii="Garamond" w:hAnsi="Garamond"/>
          <w:b/>
          <w:sz w:val="24"/>
          <w:szCs w:val="24"/>
        </w:rPr>
        <w:t>tadhbiqahkam</w:t>
      </w:r>
      <w:proofErr w:type="spellEnd"/>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Economic policy in the fulfillment of the needs of human life aims at the benefit of </w:t>
      </w:r>
      <w:r w:rsidR="003B7CB5" w:rsidRPr="003B7CB5">
        <w:rPr>
          <w:rFonts w:ascii="Garamond" w:hAnsi="Garamond"/>
          <w:sz w:val="24"/>
          <w:szCs w:val="24"/>
        </w:rPr>
        <w:t>mankind;</w:t>
      </w:r>
      <w:r w:rsidRPr="003B7CB5">
        <w:rPr>
          <w:rFonts w:ascii="Garamond" w:hAnsi="Garamond"/>
          <w:sz w:val="24"/>
          <w:szCs w:val="24"/>
        </w:rPr>
        <w:t xml:space="preserve"> this is in accordance with the purpose of </w:t>
      </w:r>
      <w:proofErr w:type="spellStart"/>
      <w:r w:rsidRPr="00A465D4">
        <w:rPr>
          <w:rFonts w:ascii="Garamond" w:hAnsi="Garamond"/>
          <w:i/>
          <w:sz w:val="24"/>
          <w:szCs w:val="24"/>
        </w:rPr>
        <w:t>shari'ah</w:t>
      </w:r>
      <w:proofErr w:type="spellEnd"/>
      <w:r w:rsidRPr="003B7CB5">
        <w:rPr>
          <w:rFonts w:ascii="Garamond" w:hAnsi="Garamond"/>
          <w:sz w:val="24"/>
          <w:szCs w:val="24"/>
        </w:rPr>
        <w:t>. According to Al-</w:t>
      </w:r>
      <w:proofErr w:type="spellStart"/>
      <w:r w:rsidRPr="003B7CB5">
        <w:rPr>
          <w:rFonts w:ascii="Garamond" w:hAnsi="Garamond"/>
          <w:sz w:val="24"/>
          <w:szCs w:val="24"/>
        </w:rPr>
        <w:t>Syatibi</w:t>
      </w:r>
      <w:proofErr w:type="spellEnd"/>
      <w:r w:rsidRPr="003B7CB5">
        <w:rPr>
          <w:rStyle w:val="FootnoteReference"/>
          <w:rFonts w:ascii="Garamond" w:hAnsi="Garamond"/>
          <w:bCs/>
          <w:sz w:val="24"/>
          <w:szCs w:val="24"/>
        </w:rPr>
        <w:footnoteReference w:id="36"/>
      </w:r>
      <w:r w:rsidR="003B7CB5">
        <w:rPr>
          <w:rFonts w:ascii="Garamond" w:hAnsi="Garamond"/>
          <w:sz w:val="24"/>
          <w:szCs w:val="24"/>
          <w:lang w:val="id-ID"/>
        </w:rPr>
        <w:t xml:space="preserve"> </w:t>
      </w:r>
      <w:r w:rsidRPr="003B7CB5">
        <w:rPr>
          <w:rFonts w:ascii="Garamond" w:hAnsi="Garamond"/>
          <w:sz w:val="24"/>
          <w:szCs w:val="24"/>
        </w:rPr>
        <w:t xml:space="preserve">revealed that the purpose of </w:t>
      </w:r>
      <w:proofErr w:type="spellStart"/>
      <w:r w:rsidRPr="00A465D4">
        <w:rPr>
          <w:rFonts w:ascii="Garamond" w:hAnsi="Garamond"/>
          <w:i/>
          <w:sz w:val="24"/>
          <w:szCs w:val="24"/>
        </w:rPr>
        <w:t>shari'ah</w:t>
      </w:r>
      <w:proofErr w:type="spellEnd"/>
      <w:r w:rsidRPr="003B7CB5">
        <w:rPr>
          <w:rFonts w:ascii="Garamond" w:hAnsi="Garamond"/>
          <w:sz w:val="24"/>
          <w:szCs w:val="24"/>
        </w:rPr>
        <w:t xml:space="preserve"> is the benefit of mankind.</w:t>
      </w:r>
      <w:r w:rsidR="003B7CB5">
        <w:rPr>
          <w:rFonts w:ascii="Garamond" w:hAnsi="Garamond"/>
          <w:sz w:val="24"/>
          <w:szCs w:val="24"/>
          <w:lang w:val="id-ID"/>
        </w:rPr>
        <w:t xml:space="preserve"> </w:t>
      </w:r>
      <w:r w:rsidRPr="003B7CB5">
        <w:rPr>
          <w:rFonts w:ascii="Garamond" w:hAnsi="Garamond"/>
          <w:sz w:val="24"/>
          <w:szCs w:val="24"/>
        </w:rPr>
        <w:t xml:space="preserve">The policy of </w:t>
      </w:r>
      <w:proofErr w:type="spellStart"/>
      <w:r w:rsidRPr="00A465D4">
        <w:rPr>
          <w:rFonts w:ascii="Garamond" w:hAnsi="Garamond"/>
          <w:i/>
          <w:sz w:val="24"/>
          <w:szCs w:val="24"/>
        </w:rPr>
        <w:t>shari'ah</w:t>
      </w:r>
      <w:proofErr w:type="spellEnd"/>
      <w:r w:rsidRPr="003B7CB5">
        <w:rPr>
          <w:rFonts w:ascii="Garamond" w:hAnsi="Garamond"/>
          <w:sz w:val="24"/>
          <w:szCs w:val="24"/>
        </w:rPr>
        <w:t xml:space="preserve"> contains an element of benefit which is interpreted as everything related to the fulfillment of human needs of life. Al-</w:t>
      </w:r>
      <w:proofErr w:type="spellStart"/>
      <w:r w:rsidRPr="003B7CB5">
        <w:rPr>
          <w:rFonts w:ascii="Garamond" w:hAnsi="Garamond"/>
          <w:sz w:val="24"/>
          <w:szCs w:val="24"/>
        </w:rPr>
        <w:t>syatibi</w:t>
      </w:r>
      <w:proofErr w:type="spellEnd"/>
      <w:r w:rsidRPr="003B7CB5">
        <w:rPr>
          <w:rFonts w:ascii="Garamond" w:hAnsi="Garamond"/>
          <w:sz w:val="24"/>
          <w:szCs w:val="24"/>
        </w:rPr>
        <w:t xml:space="preserve"> further classifies the five elements that must be maintained to realize the benefit of determining policy, namely: soul, reason, descendants, and property.</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Policies that look at the side of legal actions that contain benefits and tranquility and avoid damage to humans personally and society in meeting their primary, secondary and tertiary needs with the aim of maintaining religion, soul, reason, ancestry, and property.</w:t>
      </w:r>
    </w:p>
    <w:p w:rsidR="000E0E96" w:rsidRPr="003B7CB5" w:rsidRDefault="000E0E96" w:rsidP="003B7CB5">
      <w:pPr>
        <w:pStyle w:val="NoSpacing"/>
        <w:spacing w:after="120"/>
        <w:ind w:left="0" w:firstLine="709"/>
        <w:jc w:val="both"/>
        <w:rPr>
          <w:rFonts w:ascii="Garamond" w:hAnsi="Garamond"/>
          <w:sz w:val="24"/>
          <w:szCs w:val="24"/>
        </w:rPr>
      </w:pPr>
      <w:r w:rsidRPr="003B7CB5">
        <w:rPr>
          <w:rFonts w:ascii="Garamond" w:hAnsi="Garamond"/>
          <w:sz w:val="24"/>
          <w:szCs w:val="24"/>
        </w:rPr>
        <w:t xml:space="preserve">The legal basis for determining policies containing elements of </w:t>
      </w:r>
      <w:proofErr w:type="spellStart"/>
      <w:r w:rsidRPr="00A465D4">
        <w:rPr>
          <w:rFonts w:ascii="Garamond" w:hAnsi="Garamond"/>
          <w:i/>
          <w:sz w:val="24"/>
          <w:szCs w:val="24"/>
        </w:rPr>
        <w:t>Maslahah</w:t>
      </w:r>
      <w:proofErr w:type="spellEnd"/>
      <w:r w:rsidRPr="00A465D4">
        <w:rPr>
          <w:rFonts w:ascii="Garamond" w:hAnsi="Garamond"/>
          <w:i/>
          <w:sz w:val="24"/>
          <w:szCs w:val="24"/>
        </w:rPr>
        <w:t xml:space="preserve"> </w:t>
      </w:r>
      <w:r w:rsidRPr="003B7CB5">
        <w:rPr>
          <w:rFonts w:ascii="Garamond" w:hAnsi="Garamond"/>
          <w:sz w:val="24"/>
          <w:szCs w:val="24"/>
        </w:rPr>
        <w:t>can be seen in</w:t>
      </w:r>
      <w:r w:rsidR="003B7CB5">
        <w:rPr>
          <w:rFonts w:ascii="Garamond" w:hAnsi="Garamond"/>
          <w:sz w:val="24"/>
          <w:szCs w:val="24"/>
          <w:lang w:val="id-ID"/>
        </w:rPr>
        <w:t xml:space="preserve"> </w:t>
      </w:r>
      <w:proofErr w:type="spellStart"/>
      <w:r w:rsidRPr="003B7CB5">
        <w:rPr>
          <w:rFonts w:ascii="Garamond" w:hAnsi="Garamond"/>
          <w:sz w:val="24"/>
          <w:szCs w:val="24"/>
        </w:rPr>
        <w:t>Q.S.Al</w:t>
      </w:r>
      <w:proofErr w:type="spellEnd"/>
      <w:r w:rsidRPr="003B7CB5">
        <w:rPr>
          <w:rFonts w:ascii="Garamond" w:hAnsi="Garamond"/>
          <w:sz w:val="24"/>
          <w:szCs w:val="24"/>
        </w:rPr>
        <w:t>-Hajj:</w:t>
      </w:r>
      <w:r w:rsidR="003B7CB5">
        <w:rPr>
          <w:rFonts w:ascii="Garamond" w:hAnsi="Garamond"/>
          <w:sz w:val="24"/>
          <w:szCs w:val="24"/>
          <w:lang w:val="id-ID"/>
        </w:rPr>
        <w:t xml:space="preserve"> </w:t>
      </w:r>
      <w:r w:rsidRPr="003B7CB5">
        <w:rPr>
          <w:rFonts w:ascii="Garamond" w:hAnsi="Garamond"/>
          <w:sz w:val="24"/>
          <w:szCs w:val="24"/>
        </w:rPr>
        <w:t>78</w:t>
      </w:r>
      <w:r w:rsidRPr="003B7CB5">
        <w:rPr>
          <w:rStyle w:val="FootnoteReference"/>
          <w:rFonts w:ascii="Garamond" w:hAnsi="Garamond"/>
          <w:sz w:val="24"/>
          <w:szCs w:val="24"/>
        </w:rPr>
        <w:footnoteReference w:id="37"/>
      </w:r>
    </w:p>
    <w:p w:rsidR="000E0E96" w:rsidRPr="003B7CB5" w:rsidRDefault="000E0E96" w:rsidP="00A465D4">
      <w:pPr>
        <w:pStyle w:val="NoSpacing"/>
        <w:spacing w:after="120"/>
        <w:ind w:left="0"/>
        <w:jc w:val="right"/>
        <w:rPr>
          <w:rFonts w:ascii="Garamond" w:hAnsi="Garamond"/>
          <w:sz w:val="24"/>
          <w:szCs w:val="24"/>
        </w:rPr>
      </w:pPr>
      <w:r w:rsidRPr="003B7CB5">
        <w:rPr>
          <w:rFonts w:ascii="Garamond" w:hAnsi="Garamond"/>
          <w:sz w:val="24"/>
          <w:szCs w:val="24"/>
          <w:rtl/>
        </w:rPr>
        <w:t>هُوَ اجۡتَبٰٮكُمۡ وَمَا جَعَلَ عَلَيۡكُمۡ فِى الدِّيۡنِ مِنۡ حَرَجٍ‌ؕ</w:t>
      </w:r>
    </w:p>
    <w:p w:rsidR="000E0E96" w:rsidRPr="003B7CB5" w:rsidRDefault="000E0E96" w:rsidP="003B7CB5">
      <w:pPr>
        <w:pStyle w:val="NoSpacing"/>
        <w:spacing w:after="120"/>
        <w:ind w:left="0"/>
        <w:jc w:val="both"/>
        <w:rPr>
          <w:rFonts w:ascii="Garamond" w:hAnsi="Garamond"/>
          <w:sz w:val="24"/>
          <w:szCs w:val="24"/>
        </w:rPr>
      </w:pPr>
      <w:r w:rsidRPr="003B7CB5">
        <w:rPr>
          <w:rFonts w:ascii="Garamond" w:hAnsi="Garamond"/>
          <w:sz w:val="24"/>
          <w:szCs w:val="24"/>
          <w:shd w:val="clear" w:color="auto" w:fill="FFFFFF"/>
          <w:lang w:bidi="ar-DZ"/>
        </w:rPr>
        <w:t>“</w:t>
      </w:r>
      <w:r w:rsidRPr="00A465D4">
        <w:rPr>
          <w:rFonts w:ascii="Garamond" w:hAnsi="Garamond"/>
          <w:i/>
          <w:sz w:val="24"/>
          <w:szCs w:val="24"/>
          <w:shd w:val="clear" w:color="auto" w:fill="FFFFFF"/>
          <w:lang w:bidi="ar-DZ"/>
        </w:rPr>
        <w:t>He has chosen you and God has not narrowed you in matters of religion</w:t>
      </w:r>
      <w:r w:rsidRPr="003B7CB5">
        <w:rPr>
          <w:rFonts w:ascii="Garamond" w:hAnsi="Garamond"/>
          <w:sz w:val="24"/>
          <w:szCs w:val="24"/>
          <w:shd w:val="clear" w:color="auto" w:fill="FFFFFF"/>
          <w:lang w:bidi="ar-DZ"/>
        </w:rPr>
        <w:t>.</w:t>
      </w:r>
      <w:r w:rsidR="00A465D4">
        <w:rPr>
          <w:rFonts w:ascii="Garamond" w:hAnsi="Garamond"/>
          <w:sz w:val="24"/>
          <w:szCs w:val="24"/>
        </w:rPr>
        <w:t>”</w:t>
      </w:r>
      <w:r w:rsidRPr="003B7CB5">
        <w:rPr>
          <w:rFonts w:ascii="Garamond" w:hAnsi="Garamond"/>
          <w:sz w:val="24"/>
          <w:szCs w:val="24"/>
        </w:rPr>
        <w:t xml:space="preserve"> In Q.S. Al-</w:t>
      </w:r>
      <w:proofErr w:type="spellStart"/>
      <w:r w:rsidRPr="003B7CB5">
        <w:rPr>
          <w:rFonts w:ascii="Garamond" w:hAnsi="Garamond"/>
          <w:sz w:val="24"/>
          <w:szCs w:val="24"/>
        </w:rPr>
        <w:t>Anbiya</w:t>
      </w:r>
      <w:proofErr w:type="spellEnd"/>
      <w:r w:rsidRPr="003B7CB5">
        <w:rPr>
          <w:rFonts w:ascii="Garamond" w:hAnsi="Garamond"/>
          <w:sz w:val="24"/>
          <w:szCs w:val="24"/>
        </w:rPr>
        <w:t>; 107</w:t>
      </w:r>
      <w:r w:rsidRPr="003B7CB5">
        <w:rPr>
          <w:rStyle w:val="FootnoteReference"/>
          <w:rFonts w:ascii="Garamond" w:hAnsi="Garamond"/>
          <w:sz w:val="24"/>
          <w:szCs w:val="24"/>
        </w:rPr>
        <w:footnoteReference w:id="38"/>
      </w:r>
    </w:p>
    <w:p w:rsidR="000E0E96" w:rsidRPr="003B7CB5" w:rsidRDefault="000E0E96" w:rsidP="00A465D4">
      <w:pPr>
        <w:pStyle w:val="NoSpacing"/>
        <w:spacing w:after="120"/>
        <w:ind w:left="0"/>
        <w:jc w:val="right"/>
        <w:rPr>
          <w:rFonts w:ascii="Garamond" w:hAnsi="Garamond"/>
          <w:sz w:val="24"/>
          <w:szCs w:val="24"/>
        </w:rPr>
      </w:pPr>
      <w:r w:rsidRPr="003B7CB5">
        <w:rPr>
          <w:rFonts w:ascii="Garamond" w:hAnsi="Garamond"/>
          <w:color w:val="000000"/>
          <w:sz w:val="24"/>
          <w:szCs w:val="24"/>
          <w:shd w:val="clear" w:color="auto" w:fill="FFFFFF"/>
          <w:rtl/>
        </w:rPr>
        <w:lastRenderedPageBreak/>
        <w:t>وَمَآ اَرْسَلْنٰكَ اِلَّا رَحْمَةً لِّلْعٰلَمِيْنَ</w:t>
      </w:r>
    </w:p>
    <w:p w:rsidR="000E0E96" w:rsidRPr="003B7CB5" w:rsidRDefault="000E0E96" w:rsidP="003B7CB5">
      <w:pPr>
        <w:pStyle w:val="NoSpacing"/>
        <w:spacing w:after="120"/>
        <w:ind w:left="0"/>
        <w:jc w:val="both"/>
        <w:rPr>
          <w:rFonts w:ascii="Garamond" w:hAnsi="Garamond"/>
          <w:color w:val="000000"/>
          <w:sz w:val="24"/>
          <w:szCs w:val="24"/>
          <w:shd w:val="clear" w:color="auto" w:fill="FFFFFF"/>
        </w:rPr>
      </w:pPr>
      <w:r w:rsidRPr="003B7CB5">
        <w:rPr>
          <w:rFonts w:ascii="Garamond" w:hAnsi="Garamond"/>
          <w:color w:val="000000"/>
          <w:sz w:val="24"/>
          <w:szCs w:val="24"/>
          <w:shd w:val="clear" w:color="auto" w:fill="FFFFFF"/>
        </w:rPr>
        <w:t>“</w:t>
      </w:r>
      <w:r w:rsidRPr="00A465D4">
        <w:rPr>
          <w:rFonts w:ascii="Garamond" w:hAnsi="Garamond"/>
          <w:i/>
          <w:color w:val="000000"/>
          <w:sz w:val="24"/>
          <w:szCs w:val="24"/>
          <w:shd w:val="clear" w:color="auto" w:fill="FFFFFF"/>
        </w:rPr>
        <w:t>And we do not send you, but to (be) mercy to the universe</w:t>
      </w:r>
      <w:r w:rsidRPr="003B7CB5">
        <w:rPr>
          <w:rFonts w:ascii="Garamond" w:hAnsi="Garamond"/>
          <w:color w:val="000000"/>
          <w:sz w:val="24"/>
          <w:szCs w:val="24"/>
          <w:shd w:val="clear" w:color="auto" w:fill="FFFFFF"/>
        </w:rPr>
        <w:t>."</w:t>
      </w:r>
    </w:p>
    <w:p w:rsidR="000E0E96" w:rsidRPr="003B7CB5" w:rsidRDefault="000E0E96" w:rsidP="00A465D4">
      <w:pPr>
        <w:pStyle w:val="NoSpacing"/>
        <w:spacing w:after="120"/>
        <w:ind w:left="0" w:firstLine="709"/>
        <w:jc w:val="both"/>
        <w:rPr>
          <w:rFonts w:ascii="Garamond" w:hAnsi="Garamond"/>
          <w:color w:val="000000"/>
          <w:sz w:val="24"/>
          <w:szCs w:val="24"/>
        </w:rPr>
      </w:pPr>
      <w:r w:rsidRPr="003B7CB5">
        <w:rPr>
          <w:rFonts w:ascii="Garamond" w:hAnsi="Garamond"/>
          <w:color w:val="000000"/>
          <w:sz w:val="24"/>
          <w:szCs w:val="24"/>
          <w:shd w:val="clear" w:color="auto" w:fill="FFFFFF"/>
        </w:rPr>
        <w:t xml:space="preserve">The verses explain the nature of basic grace is not only grace in Rasulullah but also there is grace in the treatises he teaches, namely grace in the texts of </w:t>
      </w:r>
      <w:proofErr w:type="spellStart"/>
      <w:r w:rsidRPr="003B7CB5">
        <w:rPr>
          <w:rFonts w:ascii="Garamond" w:hAnsi="Garamond"/>
          <w:color w:val="000000"/>
          <w:sz w:val="24"/>
          <w:szCs w:val="24"/>
          <w:shd w:val="clear" w:color="auto" w:fill="FFFFFF"/>
        </w:rPr>
        <w:t>shari'ah</w:t>
      </w:r>
      <w:proofErr w:type="spellEnd"/>
      <w:r w:rsidRPr="003B7CB5">
        <w:rPr>
          <w:rFonts w:ascii="Garamond" w:hAnsi="Garamond"/>
          <w:color w:val="000000"/>
          <w:sz w:val="24"/>
          <w:szCs w:val="24"/>
          <w:shd w:val="clear" w:color="auto" w:fill="FFFFFF"/>
        </w:rPr>
        <w:t xml:space="preserve"> that teach tawhid, worship, and </w:t>
      </w:r>
      <w:proofErr w:type="spellStart"/>
      <w:r w:rsidRPr="003B7CB5">
        <w:rPr>
          <w:rFonts w:ascii="Garamond" w:hAnsi="Garamond"/>
          <w:color w:val="000000"/>
          <w:sz w:val="24"/>
          <w:szCs w:val="24"/>
          <w:shd w:val="clear" w:color="auto" w:fill="FFFFFF"/>
        </w:rPr>
        <w:t>ahlak</w:t>
      </w:r>
      <w:proofErr w:type="spellEnd"/>
      <w:r w:rsidRPr="003B7CB5">
        <w:rPr>
          <w:rFonts w:ascii="Garamond" w:hAnsi="Garamond"/>
          <w:color w:val="000000"/>
          <w:sz w:val="24"/>
          <w:szCs w:val="24"/>
          <w:shd w:val="clear" w:color="auto" w:fill="FFFFFF"/>
        </w:rPr>
        <w:t xml:space="preserve">, with </w:t>
      </w:r>
      <w:proofErr w:type="spellStart"/>
      <w:r w:rsidRPr="003B7CB5">
        <w:rPr>
          <w:rFonts w:ascii="Garamond" w:hAnsi="Garamond"/>
          <w:color w:val="000000"/>
          <w:sz w:val="24"/>
          <w:szCs w:val="24"/>
          <w:shd w:val="clear" w:color="auto" w:fill="FFFFFF"/>
        </w:rPr>
        <w:t>guidance</w:t>
      </w:r>
      <w:r w:rsidRPr="003B7CB5">
        <w:rPr>
          <w:rFonts w:ascii="Garamond" w:hAnsi="Garamond"/>
          <w:sz w:val="24"/>
          <w:szCs w:val="24"/>
        </w:rPr>
        <w:t>about</w:t>
      </w:r>
      <w:proofErr w:type="spellEnd"/>
      <w:r w:rsidRPr="003B7CB5">
        <w:rPr>
          <w:rFonts w:ascii="Garamond" w:hAnsi="Garamond"/>
          <w:sz w:val="24"/>
          <w:szCs w:val="24"/>
        </w:rPr>
        <w:t xml:space="preserve"> the truth of error, the guidance of error, and the benefit of the treasury.</w:t>
      </w:r>
    </w:p>
    <w:p w:rsidR="000E0E96" w:rsidRPr="003B7CB5" w:rsidRDefault="000E0E96" w:rsidP="00A465D4">
      <w:pPr>
        <w:pStyle w:val="NoSpacing"/>
        <w:spacing w:after="120"/>
        <w:ind w:left="0" w:firstLine="709"/>
        <w:jc w:val="both"/>
        <w:rPr>
          <w:rFonts w:ascii="Garamond" w:hAnsi="Garamond"/>
          <w:sz w:val="24"/>
          <w:szCs w:val="24"/>
          <w:lang w:bidi="ar-DZ"/>
        </w:rPr>
      </w:pPr>
      <w:r w:rsidRPr="003B7CB5">
        <w:rPr>
          <w:rFonts w:ascii="Garamond" w:hAnsi="Garamond"/>
          <w:sz w:val="24"/>
          <w:szCs w:val="24"/>
        </w:rPr>
        <w:t>The benefit is based on hadis Nabi</w:t>
      </w:r>
      <w:r w:rsidRPr="003B7CB5">
        <w:rPr>
          <w:rStyle w:val="FootnoteReference"/>
          <w:rFonts w:ascii="Garamond" w:hAnsi="Garamond"/>
          <w:sz w:val="24"/>
          <w:szCs w:val="24"/>
        </w:rPr>
        <w:footnoteReference w:id="39"/>
      </w:r>
    </w:p>
    <w:p w:rsidR="000E0E96" w:rsidRPr="003B7CB5" w:rsidRDefault="000E0E96" w:rsidP="00A465D4">
      <w:pPr>
        <w:pStyle w:val="NoSpacing"/>
        <w:spacing w:after="120"/>
        <w:ind w:left="0"/>
        <w:jc w:val="right"/>
        <w:rPr>
          <w:rFonts w:ascii="Garamond" w:hAnsi="Garamond"/>
          <w:sz w:val="24"/>
          <w:szCs w:val="24"/>
          <w:lang w:bidi="ar-DZ"/>
        </w:rPr>
      </w:pPr>
      <w:r w:rsidRPr="003B7CB5">
        <w:rPr>
          <w:rFonts w:ascii="Garamond" w:hAnsi="Garamond"/>
          <w:sz w:val="24"/>
          <w:szCs w:val="24"/>
          <w:shd w:val="clear" w:color="auto" w:fill="FFFFFF"/>
          <w:rtl/>
        </w:rPr>
        <w:t>عنْ أَبِيْ سَعِيْدٍ سَعْدِ بنِ مَالِكٍ بْنِ سِنَانٍ الخُدْرِيِّ رضي الله عنه أَنَّ رَسُولَ اللهِ صلى الله عليه وسلم قَالَ: (لاَ ضَرَرَ وَلاَ ضِرَارَ) حَدِيْثٌ حَسَنٌ رَوَاهُ ابْنُ مَاجَه، وَالدَّارَقُطْنِيّ وَغَيْرُهُمَا مُسْنَدًا، وَرَوَاهُ مَالِكٌ في الْمُوَطَّأِ مُرْسَلاً عَنْ عَمْرٍو بْنِ يَحْيَى عَنْ أَبِيْهِ عَنِ النَّبِيِّ صلى الله عليه وسلم فَأَسْقَطَ أَبَا سَعِيْدٍ، وَلَهُ طُرُقٌ يُقَوِّي بَعْضُهَا بَعْضَاً</w:t>
      </w:r>
      <w:r w:rsidRPr="003B7CB5">
        <w:rPr>
          <w:rStyle w:val="FootnoteReference"/>
          <w:rFonts w:ascii="Garamond" w:hAnsi="Garamond"/>
          <w:sz w:val="24"/>
          <w:szCs w:val="24"/>
          <w:rtl/>
        </w:rPr>
        <w:footnoteReference w:id="40"/>
      </w:r>
    </w:p>
    <w:p w:rsidR="000E0E96" w:rsidRPr="003B7CB5" w:rsidRDefault="000E0E96" w:rsidP="003B7CB5">
      <w:pPr>
        <w:pStyle w:val="NoSpacing"/>
        <w:spacing w:after="120"/>
        <w:ind w:left="0"/>
        <w:jc w:val="both"/>
        <w:rPr>
          <w:rFonts w:ascii="Garamond" w:hAnsi="Garamond"/>
          <w:sz w:val="24"/>
          <w:szCs w:val="24"/>
        </w:rPr>
      </w:pPr>
      <w:r w:rsidRPr="003B7CB5">
        <w:rPr>
          <w:rFonts w:ascii="Garamond" w:hAnsi="Garamond"/>
          <w:sz w:val="24"/>
          <w:szCs w:val="24"/>
        </w:rPr>
        <w:t>“</w:t>
      </w:r>
      <w:r w:rsidRPr="00A465D4">
        <w:rPr>
          <w:rFonts w:ascii="Garamond" w:hAnsi="Garamond"/>
          <w:i/>
          <w:sz w:val="24"/>
          <w:szCs w:val="24"/>
        </w:rPr>
        <w:t xml:space="preserve">From Abu </w:t>
      </w:r>
      <w:proofErr w:type="spellStart"/>
      <w:r w:rsidRPr="00A465D4">
        <w:rPr>
          <w:rFonts w:ascii="Garamond" w:hAnsi="Garamond"/>
          <w:i/>
          <w:sz w:val="24"/>
          <w:szCs w:val="24"/>
        </w:rPr>
        <w:t>Sa'ad</w:t>
      </w:r>
      <w:proofErr w:type="spellEnd"/>
      <w:r w:rsidRPr="00A465D4">
        <w:rPr>
          <w:rFonts w:ascii="Garamond" w:hAnsi="Garamond"/>
          <w:i/>
          <w:sz w:val="24"/>
          <w:szCs w:val="24"/>
        </w:rPr>
        <w:t xml:space="preserve"> bin </w:t>
      </w:r>
      <w:proofErr w:type="spellStart"/>
      <w:r w:rsidRPr="00A465D4">
        <w:rPr>
          <w:rFonts w:ascii="Garamond" w:hAnsi="Garamond"/>
          <w:i/>
          <w:sz w:val="24"/>
          <w:szCs w:val="24"/>
        </w:rPr>
        <w:t>malik</w:t>
      </w:r>
      <w:proofErr w:type="spellEnd"/>
      <w:r w:rsidRPr="00A465D4">
        <w:rPr>
          <w:rFonts w:ascii="Garamond" w:hAnsi="Garamond"/>
          <w:i/>
          <w:sz w:val="24"/>
          <w:szCs w:val="24"/>
        </w:rPr>
        <w:t xml:space="preserve"> bin </w:t>
      </w:r>
      <w:proofErr w:type="spellStart"/>
      <w:r w:rsidRPr="00A465D4">
        <w:rPr>
          <w:rFonts w:ascii="Garamond" w:hAnsi="Garamond"/>
          <w:i/>
          <w:sz w:val="24"/>
          <w:szCs w:val="24"/>
        </w:rPr>
        <w:t>Sanaan</w:t>
      </w:r>
      <w:proofErr w:type="spellEnd"/>
      <w:r w:rsidRPr="00A465D4">
        <w:rPr>
          <w:rFonts w:ascii="Garamond" w:hAnsi="Garamond"/>
          <w:i/>
          <w:sz w:val="24"/>
          <w:szCs w:val="24"/>
        </w:rPr>
        <w:t xml:space="preserve"> al-</w:t>
      </w:r>
      <w:proofErr w:type="spellStart"/>
      <w:r w:rsidRPr="00A465D4">
        <w:rPr>
          <w:rFonts w:ascii="Garamond" w:hAnsi="Garamond"/>
          <w:i/>
          <w:sz w:val="24"/>
          <w:szCs w:val="24"/>
        </w:rPr>
        <w:t>khudzriy</w:t>
      </w:r>
      <w:proofErr w:type="spellEnd"/>
      <w:r w:rsidRPr="00A465D4">
        <w:rPr>
          <w:rFonts w:ascii="Garamond" w:hAnsi="Garamond"/>
          <w:i/>
          <w:sz w:val="24"/>
          <w:szCs w:val="24"/>
        </w:rPr>
        <w:t xml:space="preserve"> said </w:t>
      </w:r>
      <w:proofErr w:type="spellStart"/>
      <w:r w:rsidRPr="00A465D4">
        <w:rPr>
          <w:rFonts w:ascii="Garamond" w:hAnsi="Garamond"/>
          <w:i/>
          <w:sz w:val="24"/>
          <w:szCs w:val="24"/>
        </w:rPr>
        <w:t>Rosulallah</w:t>
      </w:r>
      <w:proofErr w:type="spellEnd"/>
      <w:r w:rsidRPr="00A465D4">
        <w:rPr>
          <w:rFonts w:ascii="Garamond" w:hAnsi="Garamond"/>
          <w:i/>
          <w:sz w:val="24"/>
          <w:szCs w:val="24"/>
        </w:rPr>
        <w:t xml:space="preserve"> S.A.W. "Do not get </w:t>
      </w:r>
      <w:proofErr w:type="gramStart"/>
      <w:r w:rsidR="00A465D4" w:rsidRPr="00A465D4">
        <w:rPr>
          <w:rFonts w:ascii="Garamond" w:hAnsi="Garamond"/>
          <w:i/>
          <w:sz w:val="24"/>
          <w:szCs w:val="24"/>
        </w:rPr>
        <w:t>your</w:t>
      </w:r>
      <w:r w:rsidR="00A465D4">
        <w:rPr>
          <w:rFonts w:ascii="Garamond" w:hAnsi="Garamond"/>
          <w:i/>
          <w:sz w:val="24"/>
          <w:szCs w:val="24"/>
          <w:lang w:val="id-ID"/>
        </w:rPr>
        <w:t>s</w:t>
      </w:r>
      <w:r w:rsidR="00A465D4" w:rsidRPr="00A465D4">
        <w:rPr>
          <w:rFonts w:ascii="Garamond" w:hAnsi="Garamond"/>
          <w:i/>
          <w:sz w:val="24"/>
          <w:szCs w:val="24"/>
        </w:rPr>
        <w:t>elf</w:t>
      </w:r>
      <w:proofErr w:type="gramEnd"/>
      <w:r w:rsidRPr="00A465D4">
        <w:rPr>
          <w:rFonts w:ascii="Garamond" w:hAnsi="Garamond"/>
          <w:i/>
          <w:sz w:val="24"/>
          <w:szCs w:val="24"/>
        </w:rPr>
        <w:t xml:space="preserve"> and cannot fade others" Hadith narrated ibn </w:t>
      </w:r>
      <w:proofErr w:type="spellStart"/>
      <w:r w:rsidRPr="00A465D4">
        <w:rPr>
          <w:rFonts w:ascii="Garamond" w:hAnsi="Garamond"/>
          <w:i/>
          <w:sz w:val="24"/>
          <w:szCs w:val="24"/>
        </w:rPr>
        <w:t>majah</w:t>
      </w:r>
      <w:proofErr w:type="spellEnd"/>
      <w:r w:rsidRPr="00A465D4">
        <w:rPr>
          <w:rFonts w:ascii="Garamond" w:hAnsi="Garamond"/>
          <w:i/>
          <w:sz w:val="24"/>
          <w:szCs w:val="24"/>
        </w:rPr>
        <w:t xml:space="preserve"> and Ad-</w:t>
      </w:r>
      <w:proofErr w:type="spellStart"/>
      <w:r w:rsidRPr="00A465D4">
        <w:rPr>
          <w:rFonts w:ascii="Garamond" w:hAnsi="Garamond"/>
          <w:i/>
          <w:sz w:val="24"/>
          <w:szCs w:val="24"/>
        </w:rPr>
        <w:t>dzaraquthniy</w:t>
      </w:r>
      <w:proofErr w:type="spellEnd"/>
      <w:r w:rsidRPr="00A465D4">
        <w:rPr>
          <w:rFonts w:ascii="Garamond" w:hAnsi="Garamond"/>
          <w:i/>
          <w:sz w:val="24"/>
          <w:szCs w:val="24"/>
        </w:rPr>
        <w:t xml:space="preserve"> and others with a continuous </w:t>
      </w:r>
      <w:proofErr w:type="spellStart"/>
      <w:r w:rsidRPr="00A465D4">
        <w:rPr>
          <w:rFonts w:ascii="Garamond" w:hAnsi="Garamond"/>
          <w:i/>
          <w:sz w:val="24"/>
          <w:szCs w:val="24"/>
        </w:rPr>
        <w:t>sanad</w:t>
      </w:r>
      <w:proofErr w:type="spellEnd"/>
      <w:r w:rsidRPr="00A465D4">
        <w:rPr>
          <w:rFonts w:ascii="Garamond" w:hAnsi="Garamond"/>
          <w:i/>
          <w:sz w:val="24"/>
          <w:szCs w:val="24"/>
        </w:rPr>
        <w:t>. Narrated also by Malik in al-</w:t>
      </w:r>
      <w:proofErr w:type="spellStart"/>
      <w:r w:rsidRPr="00A465D4">
        <w:rPr>
          <w:rFonts w:ascii="Garamond" w:hAnsi="Garamond"/>
          <w:i/>
          <w:sz w:val="24"/>
          <w:szCs w:val="24"/>
        </w:rPr>
        <w:t>Muawatha</w:t>
      </w:r>
      <w:proofErr w:type="spellEnd"/>
      <w:r w:rsidRPr="00A465D4">
        <w:rPr>
          <w:rFonts w:ascii="Garamond" w:hAnsi="Garamond"/>
          <w:i/>
          <w:sz w:val="24"/>
          <w:szCs w:val="24"/>
        </w:rPr>
        <w:t xml:space="preserve">' from Amr bin </w:t>
      </w:r>
      <w:proofErr w:type="spellStart"/>
      <w:r w:rsidRPr="00A465D4">
        <w:rPr>
          <w:rFonts w:ascii="Garamond" w:hAnsi="Garamond"/>
          <w:i/>
          <w:sz w:val="24"/>
          <w:szCs w:val="24"/>
        </w:rPr>
        <w:t>Yahya</w:t>
      </w:r>
      <w:proofErr w:type="spellEnd"/>
      <w:r w:rsidRPr="00A465D4">
        <w:rPr>
          <w:rFonts w:ascii="Garamond" w:hAnsi="Garamond"/>
          <w:i/>
          <w:sz w:val="24"/>
          <w:szCs w:val="24"/>
        </w:rPr>
        <w:t xml:space="preserve"> from his father from the Prophet </w:t>
      </w:r>
      <w:proofErr w:type="spellStart"/>
      <w:proofErr w:type="gramStart"/>
      <w:r w:rsidRPr="00A465D4">
        <w:rPr>
          <w:rFonts w:ascii="Garamond" w:hAnsi="Garamond"/>
          <w:i/>
          <w:sz w:val="24"/>
          <w:szCs w:val="24"/>
        </w:rPr>
        <w:t>shallallahu</w:t>
      </w:r>
      <w:proofErr w:type="spellEnd"/>
      <w:proofErr w:type="gramEnd"/>
      <w:r w:rsidRPr="00A465D4">
        <w:rPr>
          <w:rFonts w:ascii="Garamond" w:hAnsi="Garamond"/>
          <w:i/>
          <w:sz w:val="24"/>
          <w:szCs w:val="24"/>
        </w:rPr>
        <w:t xml:space="preserve"> '</w:t>
      </w:r>
      <w:proofErr w:type="spellStart"/>
      <w:r w:rsidRPr="00A465D4">
        <w:rPr>
          <w:rFonts w:ascii="Garamond" w:hAnsi="Garamond"/>
          <w:i/>
          <w:sz w:val="24"/>
          <w:szCs w:val="24"/>
        </w:rPr>
        <w:t>alaihiwasallamamursal</w:t>
      </w:r>
      <w:proofErr w:type="spellEnd"/>
      <w:r w:rsidRPr="00A465D4">
        <w:rPr>
          <w:rFonts w:ascii="Garamond" w:hAnsi="Garamond"/>
          <w:i/>
          <w:sz w:val="24"/>
          <w:szCs w:val="24"/>
        </w:rPr>
        <w:t xml:space="preserve"> for aborting Abu </w:t>
      </w:r>
      <w:proofErr w:type="spellStart"/>
      <w:r w:rsidRPr="00A465D4">
        <w:rPr>
          <w:rFonts w:ascii="Garamond" w:hAnsi="Garamond"/>
          <w:i/>
          <w:sz w:val="24"/>
          <w:szCs w:val="24"/>
        </w:rPr>
        <w:t>Sa'id</w:t>
      </w:r>
      <w:proofErr w:type="spellEnd"/>
      <w:r w:rsidRPr="00A465D4">
        <w:rPr>
          <w:rFonts w:ascii="Garamond" w:hAnsi="Garamond"/>
          <w:i/>
          <w:sz w:val="24"/>
          <w:szCs w:val="24"/>
        </w:rPr>
        <w:t>. This hadith has several paths that strengthen each other</w:t>
      </w:r>
      <w:proofErr w:type="gramStart"/>
      <w:r w:rsidRPr="003B7CB5">
        <w:rPr>
          <w:rFonts w:ascii="Garamond" w:hAnsi="Garamond"/>
          <w:sz w:val="24"/>
          <w:szCs w:val="24"/>
        </w:rPr>
        <w:t>.“</w:t>
      </w:r>
      <w:proofErr w:type="gramEnd"/>
      <w:r w:rsidRPr="003B7CB5">
        <w:rPr>
          <w:rFonts w:ascii="Garamond" w:hAnsi="Garamond"/>
          <w:sz w:val="24"/>
          <w:szCs w:val="24"/>
        </w:rPr>
        <w:t xml:space="preserve"> </w:t>
      </w:r>
      <w:r w:rsidRPr="003B7CB5">
        <w:rPr>
          <w:rStyle w:val="FootnoteReference"/>
          <w:rFonts w:ascii="Garamond" w:hAnsi="Garamond"/>
          <w:sz w:val="24"/>
          <w:szCs w:val="24"/>
        </w:rPr>
        <w:footnoteReference w:id="41"/>
      </w:r>
    </w:p>
    <w:p w:rsidR="000E0E96" w:rsidRPr="003B7CB5" w:rsidRDefault="000E0E96" w:rsidP="00A465D4">
      <w:pPr>
        <w:pStyle w:val="NoSpacing"/>
        <w:spacing w:after="120"/>
        <w:ind w:left="0" w:firstLine="709"/>
        <w:jc w:val="both"/>
        <w:rPr>
          <w:rFonts w:ascii="Garamond" w:hAnsi="Garamond"/>
          <w:sz w:val="24"/>
          <w:szCs w:val="24"/>
        </w:rPr>
      </w:pPr>
      <w:r w:rsidRPr="003B7CB5">
        <w:rPr>
          <w:rFonts w:ascii="Garamond" w:hAnsi="Garamond"/>
          <w:sz w:val="24"/>
          <w:szCs w:val="24"/>
        </w:rPr>
        <w:t xml:space="preserve">This </w:t>
      </w:r>
      <w:r w:rsidRPr="00A465D4">
        <w:rPr>
          <w:rFonts w:ascii="Garamond" w:hAnsi="Garamond"/>
          <w:i/>
          <w:sz w:val="24"/>
          <w:szCs w:val="24"/>
        </w:rPr>
        <w:t>hadith</w:t>
      </w:r>
      <w:r w:rsidRPr="003B7CB5">
        <w:rPr>
          <w:rFonts w:ascii="Garamond" w:hAnsi="Garamond"/>
          <w:sz w:val="24"/>
          <w:szCs w:val="24"/>
        </w:rPr>
        <w:t xml:space="preserve"> forbids mankind to cause distress for itself as well as for others. The benefit, in this case, is certainly something that does not contradict the teachings of Islamic </w:t>
      </w:r>
      <w:proofErr w:type="spellStart"/>
      <w:r w:rsidRPr="00A465D4">
        <w:rPr>
          <w:rFonts w:ascii="Garamond" w:hAnsi="Garamond"/>
          <w:i/>
          <w:sz w:val="24"/>
          <w:szCs w:val="24"/>
        </w:rPr>
        <w:t>shari'ah</w:t>
      </w:r>
      <w:proofErr w:type="spellEnd"/>
      <w:r w:rsidRPr="003B7CB5">
        <w:rPr>
          <w:rFonts w:ascii="Garamond" w:hAnsi="Garamond"/>
          <w:sz w:val="24"/>
          <w:szCs w:val="24"/>
        </w:rPr>
        <w:t xml:space="preserve">, in fulfilling human needs. The reason for reason in the writing of the Qur'an in one </w:t>
      </w:r>
      <w:proofErr w:type="spellStart"/>
      <w:r w:rsidRPr="00A465D4">
        <w:rPr>
          <w:rFonts w:ascii="Garamond" w:hAnsi="Garamond"/>
          <w:i/>
          <w:sz w:val="24"/>
          <w:szCs w:val="24"/>
        </w:rPr>
        <w:t>mushap</w:t>
      </w:r>
      <w:proofErr w:type="spellEnd"/>
      <w:r w:rsidRPr="003B7CB5">
        <w:rPr>
          <w:rFonts w:ascii="Garamond" w:hAnsi="Garamond"/>
          <w:sz w:val="24"/>
          <w:szCs w:val="24"/>
        </w:rPr>
        <w:t xml:space="preserve"> during the time of caliph </w:t>
      </w:r>
      <w:proofErr w:type="gramStart"/>
      <w:r w:rsidRPr="003B7CB5">
        <w:rPr>
          <w:rFonts w:ascii="Garamond" w:hAnsi="Garamond"/>
          <w:sz w:val="24"/>
          <w:szCs w:val="24"/>
        </w:rPr>
        <w:t>Umar,</w:t>
      </w:r>
      <w:proofErr w:type="gramEnd"/>
      <w:r w:rsidRPr="003B7CB5">
        <w:rPr>
          <w:rFonts w:ascii="Garamond" w:hAnsi="Garamond"/>
          <w:sz w:val="24"/>
          <w:szCs w:val="24"/>
        </w:rPr>
        <w:t xml:space="preserve"> saw many </w:t>
      </w:r>
      <w:r w:rsidRPr="00A465D4">
        <w:rPr>
          <w:rFonts w:ascii="Garamond" w:hAnsi="Garamond"/>
          <w:i/>
          <w:sz w:val="24"/>
          <w:szCs w:val="24"/>
        </w:rPr>
        <w:t>qur'anic</w:t>
      </w:r>
      <w:r w:rsidRPr="003B7CB5">
        <w:rPr>
          <w:rFonts w:ascii="Garamond" w:hAnsi="Garamond"/>
          <w:sz w:val="24"/>
          <w:szCs w:val="24"/>
        </w:rPr>
        <w:t xml:space="preserve"> memorizers who died after the battle of </w:t>
      </w:r>
      <w:proofErr w:type="spellStart"/>
      <w:r w:rsidRPr="00A465D4">
        <w:rPr>
          <w:rFonts w:ascii="Garamond" w:hAnsi="Garamond"/>
          <w:i/>
          <w:sz w:val="24"/>
          <w:szCs w:val="24"/>
        </w:rPr>
        <w:t>yamamah</w:t>
      </w:r>
      <w:proofErr w:type="spellEnd"/>
      <w:r w:rsidRPr="003B7CB5">
        <w:rPr>
          <w:rStyle w:val="FootnoteReference"/>
          <w:rFonts w:ascii="Garamond" w:hAnsi="Garamond"/>
          <w:sz w:val="24"/>
          <w:szCs w:val="24"/>
        </w:rPr>
        <w:footnoteReference w:id="42"/>
      </w:r>
      <w:r w:rsidRPr="003B7CB5">
        <w:rPr>
          <w:rFonts w:ascii="Garamond" w:hAnsi="Garamond"/>
          <w:sz w:val="24"/>
          <w:szCs w:val="24"/>
        </w:rPr>
        <w:t xml:space="preserve">. </w:t>
      </w:r>
      <w:proofErr w:type="gramStart"/>
      <w:r w:rsidRPr="003B7CB5">
        <w:rPr>
          <w:rFonts w:ascii="Garamond" w:hAnsi="Garamond"/>
          <w:sz w:val="24"/>
          <w:szCs w:val="24"/>
        </w:rPr>
        <w:t xml:space="preserve">Decisions that provide </w:t>
      </w:r>
      <w:r w:rsidRPr="00A465D4">
        <w:rPr>
          <w:rFonts w:ascii="Garamond" w:hAnsi="Garamond"/>
          <w:i/>
          <w:sz w:val="24"/>
          <w:szCs w:val="24"/>
        </w:rPr>
        <w:t>maslahat</w:t>
      </w:r>
      <w:r w:rsidRPr="003B7CB5">
        <w:rPr>
          <w:rFonts w:ascii="Garamond" w:hAnsi="Garamond"/>
          <w:sz w:val="24"/>
          <w:szCs w:val="24"/>
        </w:rPr>
        <w:t xml:space="preserve"> for the </w:t>
      </w:r>
      <w:proofErr w:type="spellStart"/>
      <w:r w:rsidRPr="00A465D4">
        <w:rPr>
          <w:rFonts w:ascii="Garamond" w:hAnsi="Garamond"/>
          <w:i/>
          <w:sz w:val="24"/>
          <w:szCs w:val="24"/>
        </w:rPr>
        <w:t>ummah</w:t>
      </w:r>
      <w:proofErr w:type="spellEnd"/>
      <w:r w:rsidRPr="003B7CB5">
        <w:rPr>
          <w:rFonts w:ascii="Garamond" w:hAnsi="Garamond"/>
          <w:sz w:val="24"/>
          <w:szCs w:val="24"/>
        </w:rPr>
        <w:t>, because the survival of humans is limited in age while the reduction of the memorizers of the Qur'an will result in the scarcity of reference sources in the pronunciation of the Qur'an.</w:t>
      </w:r>
      <w:proofErr w:type="gramEnd"/>
    </w:p>
    <w:p w:rsidR="000E0E96" w:rsidRPr="003B7CB5" w:rsidRDefault="000E0E96" w:rsidP="00A465D4">
      <w:pPr>
        <w:pStyle w:val="NoSpacing"/>
        <w:spacing w:after="120"/>
        <w:ind w:left="0" w:firstLine="709"/>
        <w:jc w:val="both"/>
        <w:rPr>
          <w:rFonts w:ascii="Garamond" w:hAnsi="Garamond"/>
          <w:sz w:val="24"/>
          <w:szCs w:val="24"/>
        </w:rPr>
      </w:pPr>
      <w:r w:rsidRPr="003B7CB5">
        <w:rPr>
          <w:rFonts w:ascii="Garamond" w:hAnsi="Garamond"/>
          <w:sz w:val="24"/>
          <w:szCs w:val="24"/>
        </w:rPr>
        <w:t>Elimination of difficulties aimed at meeting human needs. Al-</w:t>
      </w:r>
      <w:proofErr w:type="spellStart"/>
      <w:r w:rsidRPr="003B7CB5">
        <w:rPr>
          <w:rFonts w:ascii="Garamond" w:hAnsi="Garamond"/>
          <w:sz w:val="24"/>
          <w:szCs w:val="24"/>
        </w:rPr>
        <w:t>Syathibi</w:t>
      </w:r>
      <w:proofErr w:type="spellEnd"/>
      <w:r w:rsidRPr="003B7CB5">
        <w:rPr>
          <w:rStyle w:val="FootnoteReference"/>
          <w:rFonts w:ascii="Garamond" w:hAnsi="Garamond"/>
          <w:bCs/>
          <w:sz w:val="24"/>
          <w:szCs w:val="24"/>
        </w:rPr>
        <w:footnoteReference w:id="43"/>
      </w:r>
      <w:r w:rsidR="00A465D4">
        <w:rPr>
          <w:rFonts w:ascii="Garamond" w:hAnsi="Garamond"/>
          <w:sz w:val="24"/>
          <w:szCs w:val="24"/>
          <w:lang w:val="id-ID"/>
        </w:rPr>
        <w:t xml:space="preserve"> </w:t>
      </w:r>
      <w:r w:rsidRPr="003B7CB5">
        <w:rPr>
          <w:rFonts w:ascii="Garamond" w:hAnsi="Garamond"/>
          <w:sz w:val="24"/>
          <w:szCs w:val="24"/>
        </w:rPr>
        <w:t xml:space="preserve">Dividing the level of </w:t>
      </w:r>
      <w:proofErr w:type="spellStart"/>
      <w:r w:rsidRPr="00A465D4">
        <w:rPr>
          <w:rFonts w:ascii="Garamond" w:hAnsi="Garamond"/>
          <w:i/>
          <w:sz w:val="24"/>
          <w:szCs w:val="24"/>
        </w:rPr>
        <w:t>maslahah</w:t>
      </w:r>
      <w:proofErr w:type="spellEnd"/>
      <w:r w:rsidRPr="003B7CB5">
        <w:rPr>
          <w:rFonts w:ascii="Garamond" w:hAnsi="Garamond"/>
          <w:sz w:val="24"/>
          <w:szCs w:val="24"/>
        </w:rPr>
        <w:t xml:space="preserve"> into three, namely </w:t>
      </w:r>
      <w:proofErr w:type="spellStart"/>
      <w:r w:rsidRPr="00A465D4">
        <w:rPr>
          <w:rFonts w:ascii="Garamond" w:hAnsi="Garamond"/>
          <w:i/>
          <w:sz w:val="24"/>
          <w:szCs w:val="24"/>
        </w:rPr>
        <w:t>dharuriyah</w:t>
      </w:r>
      <w:proofErr w:type="spellEnd"/>
      <w:r w:rsidRPr="003B7CB5">
        <w:rPr>
          <w:rFonts w:ascii="Garamond" w:hAnsi="Garamond"/>
          <w:sz w:val="24"/>
          <w:szCs w:val="24"/>
        </w:rPr>
        <w:t xml:space="preserve">, </w:t>
      </w:r>
      <w:proofErr w:type="spellStart"/>
      <w:r w:rsidRPr="00A465D4">
        <w:rPr>
          <w:rFonts w:ascii="Garamond" w:hAnsi="Garamond"/>
          <w:i/>
          <w:sz w:val="24"/>
          <w:szCs w:val="24"/>
        </w:rPr>
        <w:t>hajiyah</w:t>
      </w:r>
      <w:proofErr w:type="spellEnd"/>
      <w:r w:rsidRPr="003B7CB5">
        <w:rPr>
          <w:rFonts w:ascii="Garamond" w:hAnsi="Garamond"/>
          <w:sz w:val="24"/>
          <w:szCs w:val="24"/>
        </w:rPr>
        <w:t xml:space="preserve">, and </w:t>
      </w:r>
      <w:proofErr w:type="spellStart"/>
      <w:r w:rsidRPr="00A465D4">
        <w:rPr>
          <w:rFonts w:ascii="Garamond" w:hAnsi="Garamond"/>
          <w:i/>
          <w:sz w:val="24"/>
          <w:szCs w:val="24"/>
        </w:rPr>
        <w:t>tahsiniyah</w:t>
      </w:r>
      <w:proofErr w:type="spellEnd"/>
      <w:r w:rsidRPr="003B7CB5">
        <w:rPr>
          <w:rFonts w:ascii="Garamond" w:hAnsi="Garamond"/>
          <w:sz w:val="24"/>
          <w:szCs w:val="24"/>
        </w:rPr>
        <w:t xml:space="preserve">. The need for </w:t>
      </w:r>
      <w:r w:rsidR="00A465D4">
        <w:rPr>
          <w:rFonts w:ascii="Garamond" w:hAnsi="Garamond"/>
          <w:sz w:val="24"/>
          <w:szCs w:val="24"/>
          <w:lang w:val="id-ID"/>
        </w:rPr>
        <w:t>i</w:t>
      </w:r>
      <w:r w:rsidRPr="003B7CB5">
        <w:rPr>
          <w:rFonts w:ascii="Garamond" w:hAnsi="Garamond"/>
          <w:sz w:val="24"/>
          <w:szCs w:val="24"/>
        </w:rPr>
        <w:t xml:space="preserve"> as a human living need that is essential in maintaining human survival, so it is mandatory in its fulfillment, because if the </w:t>
      </w:r>
      <w:proofErr w:type="spellStart"/>
      <w:r w:rsidRPr="00A465D4">
        <w:rPr>
          <w:rFonts w:ascii="Garamond" w:hAnsi="Garamond"/>
          <w:i/>
          <w:sz w:val="24"/>
          <w:szCs w:val="24"/>
        </w:rPr>
        <w:t>daruriyah</w:t>
      </w:r>
      <w:proofErr w:type="spellEnd"/>
      <w:r w:rsidRPr="003B7CB5">
        <w:rPr>
          <w:rFonts w:ascii="Garamond" w:hAnsi="Garamond"/>
          <w:sz w:val="24"/>
          <w:szCs w:val="24"/>
        </w:rPr>
        <w:t xml:space="preserve"> is not </w:t>
      </w:r>
      <w:r w:rsidRPr="003B7CB5">
        <w:rPr>
          <w:rFonts w:ascii="Garamond" w:hAnsi="Garamond"/>
          <w:sz w:val="24"/>
          <w:szCs w:val="24"/>
        </w:rPr>
        <w:lastRenderedPageBreak/>
        <w:t xml:space="preserve">fulfilled then basically the benefit of the world and the afterlife will not be achieved. </w:t>
      </w:r>
    </w:p>
    <w:p w:rsidR="000E0E96" w:rsidRPr="003B7CB5" w:rsidRDefault="000E0E96" w:rsidP="00A465D4">
      <w:pPr>
        <w:pStyle w:val="NoSpacing"/>
        <w:spacing w:after="120"/>
        <w:ind w:left="0" w:firstLine="709"/>
        <w:jc w:val="both"/>
        <w:rPr>
          <w:rFonts w:ascii="Garamond" w:hAnsi="Garamond"/>
          <w:sz w:val="24"/>
          <w:szCs w:val="24"/>
        </w:rPr>
      </w:pPr>
      <w:r w:rsidRPr="003B7CB5">
        <w:rPr>
          <w:rFonts w:ascii="Garamond" w:hAnsi="Garamond"/>
          <w:sz w:val="24"/>
          <w:szCs w:val="24"/>
        </w:rPr>
        <w:t xml:space="preserve">The needs of </w:t>
      </w:r>
      <w:proofErr w:type="spellStart"/>
      <w:r w:rsidRPr="003B7CB5">
        <w:rPr>
          <w:rFonts w:ascii="Garamond" w:hAnsi="Garamond"/>
          <w:sz w:val="24"/>
          <w:szCs w:val="24"/>
        </w:rPr>
        <w:t>Hajjyah</w:t>
      </w:r>
      <w:proofErr w:type="spellEnd"/>
      <w:r w:rsidRPr="003B7CB5">
        <w:rPr>
          <w:rFonts w:ascii="Garamond" w:hAnsi="Garamond"/>
          <w:sz w:val="24"/>
          <w:szCs w:val="24"/>
        </w:rPr>
        <w:t xml:space="preserve"> are everything that becomes the primary needs of human life to create happiness and</w:t>
      </w:r>
      <w:r w:rsidR="00A465D4">
        <w:rPr>
          <w:rFonts w:ascii="Garamond" w:hAnsi="Garamond"/>
          <w:sz w:val="24"/>
          <w:szCs w:val="24"/>
          <w:lang w:val="id-ID"/>
        </w:rPr>
        <w:t xml:space="preserve"> </w:t>
      </w:r>
      <w:r w:rsidRPr="003B7CB5">
        <w:rPr>
          <w:rFonts w:ascii="Garamond" w:hAnsi="Garamond"/>
          <w:sz w:val="24"/>
          <w:szCs w:val="24"/>
        </w:rPr>
        <w:t xml:space="preserve">well-being, and avoiding squalor both in the world and in the afterlife. While the needs of </w:t>
      </w:r>
      <w:proofErr w:type="spellStart"/>
      <w:r w:rsidRPr="00A465D4">
        <w:rPr>
          <w:rFonts w:ascii="Garamond" w:hAnsi="Garamond"/>
          <w:i/>
          <w:sz w:val="24"/>
          <w:szCs w:val="24"/>
        </w:rPr>
        <w:t>tahsin</w:t>
      </w:r>
      <w:proofErr w:type="spellEnd"/>
      <w:r w:rsidR="00A465D4">
        <w:rPr>
          <w:rFonts w:ascii="Garamond" w:hAnsi="Garamond"/>
          <w:sz w:val="24"/>
          <w:szCs w:val="24"/>
          <w:lang w:val="id-ID"/>
        </w:rPr>
        <w:t xml:space="preserve"> s</w:t>
      </w:r>
      <w:r w:rsidRPr="003B7CB5">
        <w:rPr>
          <w:rFonts w:ascii="Garamond" w:hAnsi="Garamond"/>
          <w:sz w:val="24"/>
          <w:szCs w:val="24"/>
        </w:rPr>
        <w:t>hare complementary to the two previous needs, as a perfecting of life</w:t>
      </w:r>
      <w:r w:rsidRPr="003B7CB5">
        <w:rPr>
          <w:rStyle w:val="FootnoteReference"/>
          <w:rFonts w:ascii="Garamond" w:hAnsi="Garamond"/>
          <w:sz w:val="24"/>
          <w:szCs w:val="24"/>
        </w:rPr>
        <w:footnoteReference w:id="44"/>
      </w:r>
      <w:r w:rsidRPr="003B7CB5">
        <w:rPr>
          <w:rFonts w:ascii="Garamond" w:hAnsi="Garamond"/>
          <w:sz w:val="24"/>
          <w:szCs w:val="24"/>
        </w:rPr>
        <w:t xml:space="preserve">. In fulfilling these needs, the actions carried out based on the benefit are based on the purpose of the </w:t>
      </w:r>
      <w:proofErr w:type="spellStart"/>
      <w:r w:rsidRPr="00A465D4">
        <w:rPr>
          <w:rFonts w:ascii="Garamond" w:hAnsi="Garamond"/>
          <w:i/>
          <w:sz w:val="24"/>
          <w:szCs w:val="24"/>
        </w:rPr>
        <w:t>shari'a</w:t>
      </w:r>
      <w:proofErr w:type="spellEnd"/>
      <w:r w:rsidRPr="003B7CB5">
        <w:rPr>
          <w:rFonts w:ascii="Garamond" w:hAnsi="Garamond"/>
          <w:sz w:val="24"/>
          <w:szCs w:val="24"/>
        </w:rPr>
        <w:t xml:space="preserve">. </w:t>
      </w:r>
      <w:proofErr w:type="gramStart"/>
      <w:r w:rsidRPr="003B7CB5">
        <w:rPr>
          <w:rFonts w:ascii="Garamond" w:hAnsi="Garamond"/>
          <w:sz w:val="24"/>
          <w:szCs w:val="24"/>
        </w:rPr>
        <w:t xml:space="preserve">Everything that contains efforts to maintain the purpose of </w:t>
      </w:r>
      <w:proofErr w:type="spellStart"/>
      <w:r w:rsidRPr="00A465D4">
        <w:rPr>
          <w:rFonts w:ascii="Garamond" w:hAnsi="Garamond"/>
          <w:i/>
          <w:sz w:val="24"/>
          <w:szCs w:val="24"/>
        </w:rPr>
        <w:t>shari'a</w:t>
      </w:r>
      <w:proofErr w:type="spellEnd"/>
      <w:r w:rsidRPr="003B7CB5">
        <w:rPr>
          <w:rFonts w:ascii="Garamond" w:hAnsi="Garamond"/>
          <w:sz w:val="24"/>
          <w:szCs w:val="24"/>
        </w:rPr>
        <w:t xml:space="preserve"> (Religion, soul, descendants, reason, treasure, and soul) including </w:t>
      </w:r>
      <w:proofErr w:type="spellStart"/>
      <w:r w:rsidRPr="00A465D4">
        <w:rPr>
          <w:rFonts w:ascii="Garamond" w:hAnsi="Garamond"/>
          <w:i/>
          <w:sz w:val="24"/>
          <w:szCs w:val="24"/>
        </w:rPr>
        <w:t>maslahah</w:t>
      </w:r>
      <w:proofErr w:type="spellEnd"/>
      <w:r w:rsidRPr="003B7CB5">
        <w:rPr>
          <w:rFonts w:ascii="Garamond" w:hAnsi="Garamond"/>
          <w:sz w:val="24"/>
          <w:szCs w:val="24"/>
        </w:rPr>
        <w:t>.</w:t>
      </w:r>
      <w:proofErr w:type="gramEnd"/>
      <w:r w:rsidRPr="003B7CB5">
        <w:rPr>
          <w:rFonts w:ascii="Garamond" w:hAnsi="Garamond"/>
          <w:sz w:val="24"/>
          <w:szCs w:val="24"/>
        </w:rPr>
        <w:t xml:space="preserve"> . Including the policy of </w:t>
      </w:r>
      <w:proofErr w:type="spellStart"/>
      <w:r w:rsidRPr="003B7CB5">
        <w:rPr>
          <w:rFonts w:ascii="Garamond" w:hAnsi="Garamond"/>
          <w:sz w:val="24"/>
          <w:szCs w:val="24"/>
        </w:rPr>
        <w:t>restukturization</w:t>
      </w:r>
      <w:proofErr w:type="spellEnd"/>
      <w:r w:rsidRPr="003B7CB5">
        <w:rPr>
          <w:rFonts w:ascii="Garamond" w:hAnsi="Garamond"/>
          <w:sz w:val="24"/>
          <w:szCs w:val="24"/>
        </w:rPr>
        <w:t xml:space="preserve"> of financing as a form of benefit in avoiding difficulties for customers who are affected by disasters</w:t>
      </w:r>
    </w:p>
    <w:p w:rsidR="000E0E96" w:rsidRPr="00A465D4" w:rsidRDefault="000E0E96" w:rsidP="003B7CB5">
      <w:pPr>
        <w:pStyle w:val="NoSpacing"/>
        <w:spacing w:after="120"/>
        <w:ind w:left="0"/>
        <w:jc w:val="both"/>
        <w:rPr>
          <w:rFonts w:ascii="Garamond" w:hAnsi="Garamond" w:cs="Times New Roman"/>
          <w:b/>
          <w:color w:val="111111"/>
          <w:sz w:val="24"/>
          <w:szCs w:val="24"/>
          <w:shd w:val="clear" w:color="auto" w:fill="FFFFFF"/>
        </w:rPr>
      </w:pPr>
      <w:r w:rsidRPr="00A465D4">
        <w:rPr>
          <w:rFonts w:ascii="Garamond" w:hAnsi="Garamond" w:cs="Times New Roman"/>
          <w:b/>
          <w:color w:val="111111"/>
          <w:sz w:val="24"/>
          <w:szCs w:val="24"/>
          <w:shd w:val="clear" w:color="auto" w:fill="FFFFFF"/>
        </w:rPr>
        <w:t xml:space="preserve">The process of restructuration of financing during the pandemic, in </w:t>
      </w:r>
      <w:proofErr w:type="spellStart"/>
      <w:r w:rsidRPr="00A465D4">
        <w:rPr>
          <w:rFonts w:ascii="Garamond" w:hAnsi="Garamond" w:cs="Times New Roman"/>
          <w:b/>
          <w:color w:val="111111"/>
          <w:sz w:val="24"/>
          <w:szCs w:val="24"/>
          <w:shd w:val="clear" w:color="auto" w:fill="FFFFFF"/>
        </w:rPr>
        <w:t>ahkam's</w:t>
      </w:r>
      <w:proofErr w:type="spellEnd"/>
      <w:r w:rsidRPr="00A465D4">
        <w:rPr>
          <w:rFonts w:ascii="Garamond" w:hAnsi="Garamond" w:cs="Times New Roman"/>
          <w:b/>
          <w:color w:val="111111"/>
          <w:sz w:val="24"/>
          <w:szCs w:val="24"/>
          <w:shd w:val="clear" w:color="auto" w:fill="FFFFFF"/>
        </w:rPr>
        <w:t xml:space="preserve"> estimate</w:t>
      </w:r>
    </w:p>
    <w:p w:rsidR="000E0E96" w:rsidRPr="003B7CB5" w:rsidRDefault="000E0E96" w:rsidP="00A465D4">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The legal basis of financing restructuration can be seen in government policy through the Regulation of the Financial Services Authority(POJK) </w:t>
      </w:r>
      <w:r w:rsidRPr="003B7CB5">
        <w:rPr>
          <w:rFonts w:ascii="Garamond" w:hAnsi="Garamond"/>
          <w:noProof/>
          <w:sz w:val="24"/>
          <w:szCs w:val="24"/>
        </w:rPr>
        <w:t>No 11/POJK.03/2020</w:t>
      </w:r>
      <w:r w:rsidRPr="003B7CB5">
        <w:rPr>
          <w:rStyle w:val="FootnoteReference"/>
          <w:rFonts w:ascii="Garamond" w:hAnsi="Garamond"/>
          <w:color w:val="111111"/>
          <w:sz w:val="24"/>
          <w:szCs w:val="24"/>
          <w:shd w:val="clear" w:color="auto" w:fill="FFFFFF"/>
        </w:rPr>
        <w:footnoteReference w:id="45"/>
      </w:r>
      <w:r w:rsidRPr="003B7CB5">
        <w:rPr>
          <w:rFonts w:ascii="Garamond" w:hAnsi="Garamond" w:cs="Times New Roman"/>
          <w:color w:val="111111"/>
          <w:sz w:val="24"/>
          <w:szCs w:val="24"/>
          <w:shd w:val="clear" w:color="auto" w:fill="FFFFFF"/>
        </w:rPr>
        <w:t>, regarding economic stimulus and how counter</w:t>
      </w:r>
      <w:r w:rsidR="0037046B">
        <w:rPr>
          <w:rFonts w:ascii="Garamond" w:hAnsi="Garamond" w:cs="Times New Roman"/>
          <w:color w:val="111111"/>
          <w:sz w:val="24"/>
          <w:szCs w:val="24"/>
          <w:shd w:val="clear" w:color="auto" w:fill="FFFFFF"/>
          <w:lang w:val="id-ID"/>
        </w:rPr>
        <w:t xml:space="preserve"> </w:t>
      </w:r>
      <w:proofErr w:type="spellStart"/>
      <w:r w:rsidRPr="003B7CB5">
        <w:rPr>
          <w:rFonts w:ascii="Garamond" w:hAnsi="Garamond" w:cs="Times New Roman"/>
          <w:color w:val="111111"/>
          <w:sz w:val="24"/>
          <w:szCs w:val="24"/>
          <w:shd w:val="clear" w:color="auto" w:fill="FFFFFF"/>
        </w:rPr>
        <w:t>cycals</w:t>
      </w:r>
      <w:proofErr w:type="spellEnd"/>
      <w:r w:rsidRPr="003B7CB5">
        <w:rPr>
          <w:rFonts w:ascii="Garamond" w:hAnsi="Garamond" w:cs="Times New Roman"/>
          <w:color w:val="111111"/>
          <w:sz w:val="24"/>
          <w:szCs w:val="24"/>
          <w:shd w:val="clear" w:color="auto" w:fill="FFFFFF"/>
        </w:rPr>
        <w:t xml:space="preserve"> deal with the impact of the Covid-19 pandemic, the implementation of financing refers to</w:t>
      </w:r>
      <w:r w:rsidRPr="003B7CB5">
        <w:rPr>
          <w:rStyle w:val="FootnoteReference"/>
          <w:rFonts w:ascii="Garamond" w:hAnsi="Garamond"/>
          <w:color w:val="111111"/>
          <w:sz w:val="24"/>
          <w:szCs w:val="24"/>
          <w:shd w:val="clear" w:color="auto" w:fill="FFFFFF"/>
        </w:rPr>
        <w:footnoteReference w:id="46"/>
      </w:r>
      <w:r w:rsidR="0037046B">
        <w:rPr>
          <w:rFonts w:ascii="Garamond" w:hAnsi="Garamond" w:cs="Times New Roman"/>
          <w:color w:val="111111"/>
          <w:sz w:val="24"/>
          <w:szCs w:val="24"/>
          <w:shd w:val="clear" w:color="auto" w:fill="FFFFFF"/>
        </w:rPr>
        <w:t xml:space="preserve">  No 21 </w:t>
      </w:r>
      <w:r w:rsidR="0037046B">
        <w:rPr>
          <w:rFonts w:ascii="Garamond" w:hAnsi="Garamond" w:cs="Times New Roman"/>
          <w:color w:val="111111"/>
          <w:sz w:val="24"/>
          <w:szCs w:val="24"/>
          <w:shd w:val="clear" w:color="auto" w:fill="FFFFFF"/>
          <w:lang w:val="id-ID"/>
        </w:rPr>
        <w:t>chapter</w:t>
      </w:r>
      <w:r w:rsidR="0037046B">
        <w:rPr>
          <w:rFonts w:ascii="Garamond" w:hAnsi="Garamond" w:cs="Times New Roman"/>
          <w:color w:val="111111"/>
          <w:sz w:val="24"/>
          <w:szCs w:val="24"/>
          <w:shd w:val="clear" w:color="auto" w:fill="FFFFFF"/>
        </w:rPr>
        <w:t xml:space="preserve"> 36 </w:t>
      </w:r>
      <w:r w:rsidR="0037046B">
        <w:rPr>
          <w:rFonts w:ascii="Garamond" w:hAnsi="Garamond" w:cs="Times New Roman"/>
          <w:color w:val="111111"/>
          <w:sz w:val="24"/>
          <w:szCs w:val="24"/>
          <w:shd w:val="clear" w:color="auto" w:fill="FFFFFF"/>
          <w:lang w:val="id-ID"/>
        </w:rPr>
        <w:t xml:space="preserve">year </w:t>
      </w:r>
      <w:r w:rsidR="0037046B">
        <w:rPr>
          <w:rFonts w:ascii="Garamond" w:hAnsi="Garamond" w:cs="Times New Roman"/>
          <w:color w:val="111111"/>
          <w:sz w:val="24"/>
          <w:szCs w:val="24"/>
          <w:shd w:val="clear" w:color="auto" w:fill="FFFFFF"/>
        </w:rPr>
        <w:t xml:space="preserve">2008 </w:t>
      </w:r>
      <w:r w:rsidRPr="003B7CB5">
        <w:rPr>
          <w:rFonts w:ascii="Garamond" w:hAnsi="Garamond" w:cs="Times New Roman"/>
          <w:color w:val="111111"/>
          <w:sz w:val="24"/>
          <w:szCs w:val="24"/>
          <w:shd w:val="clear" w:color="auto" w:fill="FFFFFF"/>
        </w:rPr>
        <w:t>an</w:t>
      </w:r>
      <w:r w:rsidR="0037046B">
        <w:rPr>
          <w:rFonts w:ascii="Garamond" w:hAnsi="Garamond" w:cs="Times New Roman"/>
          <w:color w:val="111111"/>
          <w:sz w:val="24"/>
          <w:szCs w:val="24"/>
          <w:shd w:val="clear" w:color="auto" w:fill="FFFFFF"/>
          <w:lang w:val="id-ID"/>
        </w:rPr>
        <w:t>d</w:t>
      </w:r>
      <w:r w:rsidRPr="003B7CB5">
        <w:rPr>
          <w:rFonts w:ascii="Garamond" w:hAnsi="Garamond" w:cs="Times New Roman"/>
          <w:color w:val="111111"/>
          <w:sz w:val="24"/>
          <w:szCs w:val="24"/>
          <w:shd w:val="clear" w:color="auto" w:fill="FFFFFF"/>
        </w:rPr>
        <w:t xml:space="preserve"> </w:t>
      </w:r>
      <w:r w:rsidRPr="003B7CB5">
        <w:rPr>
          <w:rFonts w:ascii="Garamond" w:hAnsi="Garamond"/>
          <w:noProof/>
          <w:sz w:val="24"/>
          <w:szCs w:val="24"/>
        </w:rPr>
        <w:t xml:space="preserve">(PBI) Peraturan Bank Indonesia No 10/18/PBI/ 2008 </w:t>
      </w:r>
      <w:r w:rsidRPr="003B7CB5">
        <w:rPr>
          <w:rStyle w:val="FootnoteReference"/>
          <w:rFonts w:ascii="Garamond" w:hAnsi="Garamond"/>
          <w:color w:val="111111"/>
          <w:sz w:val="24"/>
          <w:szCs w:val="24"/>
          <w:shd w:val="clear" w:color="auto" w:fill="FFFFFF"/>
        </w:rPr>
        <w:footnoteReference w:id="47"/>
      </w:r>
      <w:r w:rsidRPr="003B7CB5">
        <w:rPr>
          <w:rFonts w:ascii="Garamond" w:hAnsi="Garamond" w:cs="Times New Roman"/>
          <w:color w:val="111111"/>
          <w:sz w:val="24"/>
          <w:szCs w:val="24"/>
          <w:shd w:val="clear" w:color="auto" w:fill="FFFFFF"/>
        </w:rPr>
        <w:t>and Indonesian bank circular Number10/34/</w:t>
      </w:r>
      <w:proofErr w:type="spellStart"/>
      <w:r w:rsidRPr="003B7CB5">
        <w:rPr>
          <w:rFonts w:ascii="Garamond" w:hAnsi="Garamond" w:cs="Times New Roman"/>
          <w:color w:val="111111"/>
          <w:sz w:val="24"/>
          <w:szCs w:val="24"/>
          <w:shd w:val="clear" w:color="auto" w:fill="FFFFFF"/>
        </w:rPr>
        <w:t>Dpbs</w:t>
      </w:r>
      <w:proofErr w:type="spellEnd"/>
      <w:r w:rsidRPr="003B7CB5">
        <w:rPr>
          <w:rFonts w:ascii="Garamond" w:hAnsi="Garamond" w:cs="Times New Roman"/>
          <w:color w:val="111111"/>
          <w:sz w:val="24"/>
          <w:szCs w:val="24"/>
          <w:shd w:val="clear" w:color="auto" w:fill="FFFFFF"/>
        </w:rPr>
        <w:t>/2008 about the restructuration of financing in BUS and UUS, In the circular number 10/34/</w:t>
      </w:r>
      <w:proofErr w:type="spellStart"/>
      <w:r w:rsidRPr="003B7CB5">
        <w:rPr>
          <w:rFonts w:ascii="Garamond" w:hAnsi="Garamond" w:cs="Times New Roman"/>
          <w:color w:val="111111"/>
          <w:sz w:val="24"/>
          <w:szCs w:val="24"/>
          <w:shd w:val="clear" w:color="auto" w:fill="FFFFFF"/>
        </w:rPr>
        <w:t>Dpbsin</w:t>
      </w:r>
      <w:proofErr w:type="spellEnd"/>
      <w:r w:rsidRPr="003B7CB5">
        <w:rPr>
          <w:rFonts w:ascii="Garamond" w:hAnsi="Garamond" w:cs="Times New Roman"/>
          <w:color w:val="111111"/>
          <w:sz w:val="24"/>
          <w:szCs w:val="24"/>
          <w:shd w:val="clear" w:color="auto" w:fill="FFFFFF"/>
        </w:rPr>
        <w:t xml:space="preserve"> article 1 point 1 number 4 explained the application of the principle of financing </w:t>
      </w:r>
      <w:proofErr w:type="spellStart"/>
      <w:r w:rsidRPr="003B7CB5">
        <w:rPr>
          <w:rFonts w:ascii="Garamond" w:hAnsi="Garamond" w:cs="Times New Roman"/>
          <w:color w:val="111111"/>
          <w:sz w:val="24"/>
          <w:szCs w:val="24"/>
          <w:shd w:val="clear" w:color="auto" w:fill="FFFFFF"/>
        </w:rPr>
        <w:t>restukturization</w:t>
      </w:r>
      <w:proofErr w:type="spellEnd"/>
      <w:r w:rsidRPr="003B7CB5">
        <w:rPr>
          <w:rFonts w:ascii="Garamond" w:hAnsi="Garamond" w:cs="Times New Roman"/>
          <w:color w:val="111111"/>
          <w:sz w:val="24"/>
          <w:szCs w:val="24"/>
          <w:shd w:val="clear" w:color="auto" w:fill="FFFFFF"/>
        </w:rPr>
        <w:t xml:space="preserve">, namely the principle of prudence, the principle of </w:t>
      </w:r>
      <w:proofErr w:type="spellStart"/>
      <w:r w:rsidRPr="003B7CB5">
        <w:rPr>
          <w:rFonts w:ascii="Garamond" w:hAnsi="Garamond" w:cs="Times New Roman"/>
          <w:color w:val="111111"/>
          <w:sz w:val="24"/>
          <w:szCs w:val="24"/>
          <w:shd w:val="clear" w:color="auto" w:fill="FFFFFF"/>
        </w:rPr>
        <w:t>Shari'ah</w:t>
      </w:r>
      <w:proofErr w:type="spellEnd"/>
      <w:r w:rsidRPr="003B7CB5">
        <w:rPr>
          <w:rFonts w:ascii="Garamond" w:hAnsi="Garamond" w:cs="Times New Roman"/>
          <w:color w:val="111111"/>
          <w:sz w:val="24"/>
          <w:szCs w:val="24"/>
          <w:shd w:val="clear" w:color="auto" w:fill="FFFFFF"/>
        </w:rPr>
        <w:t>, Accounting Principles, Circular Letter No 13/18/</w:t>
      </w:r>
      <w:proofErr w:type="spellStart"/>
      <w:r w:rsidRPr="003B7CB5">
        <w:rPr>
          <w:rFonts w:ascii="Garamond" w:hAnsi="Garamond" w:cs="Times New Roman"/>
          <w:color w:val="111111"/>
          <w:sz w:val="24"/>
          <w:szCs w:val="24"/>
          <w:shd w:val="clear" w:color="auto" w:fill="FFFFFF"/>
        </w:rPr>
        <w:t>Dpbs</w:t>
      </w:r>
      <w:proofErr w:type="spellEnd"/>
      <w:r w:rsidRPr="003B7CB5">
        <w:rPr>
          <w:rFonts w:ascii="Garamond" w:hAnsi="Garamond" w:cs="Times New Roman"/>
          <w:color w:val="111111"/>
          <w:sz w:val="24"/>
          <w:szCs w:val="24"/>
          <w:shd w:val="clear" w:color="auto" w:fill="FFFFFF"/>
        </w:rPr>
        <w:t>/2011</w:t>
      </w:r>
      <w:r w:rsidRPr="003B7CB5">
        <w:rPr>
          <w:rStyle w:val="FootnoteReference"/>
          <w:rFonts w:ascii="Garamond" w:hAnsi="Garamond"/>
          <w:color w:val="111111"/>
          <w:sz w:val="24"/>
          <w:szCs w:val="24"/>
          <w:shd w:val="clear" w:color="auto" w:fill="FFFFFF"/>
        </w:rPr>
        <w:footnoteReference w:id="48"/>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about circ</w:t>
      </w:r>
      <w:r w:rsidR="0037046B">
        <w:rPr>
          <w:rFonts w:ascii="Garamond" w:hAnsi="Garamond" w:cs="Times New Roman"/>
          <w:color w:val="111111"/>
          <w:sz w:val="24"/>
          <w:szCs w:val="24"/>
          <w:shd w:val="clear" w:color="auto" w:fill="FFFFFF"/>
        </w:rPr>
        <w:t>ular distribution no 10/34/</w:t>
      </w:r>
      <w:proofErr w:type="spellStart"/>
      <w:r w:rsidR="0037046B">
        <w:rPr>
          <w:rFonts w:ascii="Garamond" w:hAnsi="Garamond" w:cs="Times New Roman"/>
          <w:color w:val="111111"/>
          <w:sz w:val="24"/>
          <w:szCs w:val="24"/>
          <w:shd w:val="clear" w:color="auto" w:fill="FFFFFF"/>
        </w:rPr>
        <w:t>Dpbs</w:t>
      </w:r>
      <w:proofErr w:type="spellEnd"/>
      <w:r w:rsidRPr="003B7CB5">
        <w:rPr>
          <w:rFonts w:ascii="Garamond" w:hAnsi="Garamond" w:cs="Times New Roman"/>
          <w:color w:val="111111"/>
          <w:sz w:val="24"/>
          <w:szCs w:val="24"/>
          <w:shd w:val="clear" w:color="auto" w:fill="FFFFFF"/>
        </w:rPr>
        <w:t>/2008.</w:t>
      </w:r>
    </w:p>
    <w:p w:rsidR="000E0E96" w:rsidRPr="003B7CB5" w:rsidRDefault="000E0E96" w:rsidP="00A465D4">
      <w:pPr>
        <w:pStyle w:val="NoSpacing"/>
        <w:spacing w:after="120"/>
        <w:ind w:left="0" w:firstLine="709"/>
        <w:jc w:val="both"/>
        <w:rPr>
          <w:rFonts w:ascii="Garamond" w:hAnsi="Garamond" w:cs="Times New Roman"/>
          <w:color w:val="111111"/>
          <w:sz w:val="24"/>
          <w:szCs w:val="24"/>
          <w:shd w:val="clear" w:color="auto" w:fill="FFFFFF"/>
        </w:rPr>
      </w:pPr>
      <w:r w:rsidRPr="0037046B">
        <w:rPr>
          <w:rFonts w:ascii="Garamond" w:hAnsi="Garamond" w:cs="Times New Roman"/>
          <w:i/>
          <w:color w:val="111111"/>
          <w:sz w:val="24"/>
          <w:szCs w:val="24"/>
          <w:shd w:val="clear" w:color="auto" w:fill="FFFFFF"/>
        </w:rPr>
        <w:t>First</w:t>
      </w:r>
      <w:r w:rsidRPr="003B7CB5">
        <w:rPr>
          <w:rFonts w:ascii="Garamond" w:hAnsi="Garamond" w:cs="Times New Roman"/>
          <w:color w:val="111111"/>
          <w:sz w:val="24"/>
          <w:szCs w:val="24"/>
          <w:shd w:val="clear" w:color="auto" w:fill="FFFFFF"/>
        </w:rPr>
        <w:t>, the principle of prudence is carried out by banks in several stages, first before resting with the analysis of customer benefits to pay off their financing with several stages methods of analyzing character, capital,</w:t>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collateral, and business prospects, secondly, by looking back at the principle of knowing customers, and third, the application of the 5C principle to customers, namely: </w:t>
      </w:r>
      <w:r w:rsidRPr="003B7CB5">
        <w:rPr>
          <w:rFonts w:ascii="Garamond" w:hAnsi="Garamond" w:cs="Times New Roman"/>
          <w:i/>
          <w:iCs/>
          <w:color w:val="111111"/>
          <w:sz w:val="24"/>
          <w:szCs w:val="24"/>
          <w:shd w:val="clear" w:color="auto" w:fill="FFFFFF"/>
        </w:rPr>
        <w:t>Character, Capacity, Capital, Collateral and</w:t>
      </w:r>
      <w:r w:rsidR="0037046B">
        <w:rPr>
          <w:rFonts w:ascii="Garamond" w:hAnsi="Garamond" w:cs="Times New Roman"/>
          <w:i/>
          <w:iCs/>
          <w:color w:val="111111"/>
          <w:sz w:val="24"/>
          <w:szCs w:val="24"/>
          <w:shd w:val="clear" w:color="auto" w:fill="FFFFFF"/>
          <w:lang w:val="id-ID"/>
        </w:rPr>
        <w:t xml:space="preserve"> </w:t>
      </w:r>
      <w:r w:rsidRPr="003B7CB5">
        <w:rPr>
          <w:rFonts w:ascii="Garamond" w:hAnsi="Garamond" w:cs="Times New Roman"/>
          <w:i/>
          <w:iCs/>
          <w:color w:val="111111"/>
          <w:sz w:val="24"/>
          <w:szCs w:val="24"/>
          <w:shd w:val="clear" w:color="auto" w:fill="FFFFFF"/>
        </w:rPr>
        <w:t>Condition of Economic</w:t>
      </w:r>
      <w:r w:rsidRPr="003B7CB5">
        <w:rPr>
          <w:rStyle w:val="FootnoteReference"/>
          <w:rFonts w:ascii="Garamond" w:hAnsi="Garamond"/>
          <w:color w:val="111111"/>
          <w:sz w:val="24"/>
          <w:szCs w:val="24"/>
          <w:shd w:val="clear" w:color="auto" w:fill="FFFFFF"/>
        </w:rPr>
        <w:footnoteReference w:id="49"/>
      </w:r>
      <w:r w:rsidRPr="003B7CB5">
        <w:rPr>
          <w:rFonts w:ascii="Garamond" w:hAnsi="Garamond" w:cs="Times New Roman"/>
          <w:color w:val="111111"/>
          <w:sz w:val="24"/>
          <w:szCs w:val="24"/>
          <w:shd w:val="clear" w:color="auto" w:fill="FFFFFF"/>
        </w:rPr>
        <w:t xml:space="preserve">, </w:t>
      </w:r>
      <w:r w:rsidR="0037046B" w:rsidRPr="003B7CB5">
        <w:rPr>
          <w:rFonts w:ascii="Garamond" w:hAnsi="Garamond" w:cs="Times New Roman"/>
          <w:color w:val="111111"/>
          <w:sz w:val="24"/>
          <w:szCs w:val="24"/>
          <w:shd w:val="clear" w:color="auto" w:fill="FFFFFF"/>
        </w:rPr>
        <w:t>Character as</w:t>
      </w:r>
      <w:r w:rsidRPr="003B7CB5">
        <w:rPr>
          <w:rFonts w:ascii="Garamond" w:hAnsi="Garamond" w:cs="Times New Roman"/>
          <w:color w:val="111111"/>
          <w:sz w:val="24"/>
          <w:szCs w:val="24"/>
          <w:shd w:val="clear" w:color="auto" w:fill="FFFFFF"/>
        </w:rPr>
        <w:t xml:space="preserve"> the nature or personality of the customer, Capacity about how the customer's ability </w:t>
      </w:r>
      <w:r w:rsidRPr="003B7CB5">
        <w:rPr>
          <w:rFonts w:ascii="Garamond" w:hAnsi="Garamond" w:cs="Times New Roman"/>
          <w:color w:val="111111"/>
          <w:sz w:val="24"/>
          <w:szCs w:val="24"/>
          <w:shd w:val="clear" w:color="auto" w:fill="FFFFFF"/>
        </w:rPr>
        <w:lastRenderedPageBreak/>
        <w:t>to run a business to return financing, capital is interpreted as the capital needed to be able to run his business, Collateral by assessing the guarantee provided by the customer and the condition of the future business situation in seeing market opportunities</w:t>
      </w:r>
      <w:r w:rsidRPr="003B7CB5">
        <w:rPr>
          <w:rFonts w:ascii="Garamond" w:hAnsi="Garamond"/>
          <w:sz w:val="24"/>
          <w:szCs w:val="24"/>
        </w:rPr>
        <w:t>.</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7046B">
        <w:rPr>
          <w:rFonts w:ascii="Garamond" w:hAnsi="Garamond" w:cs="Times New Roman"/>
          <w:i/>
          <w:color w:val="111111"/>
          <w:sz w:val="24"/>
          <w:szCs w:val="24"/>
          <w:shd w:val="clear" w:color="auto" w:fill="FFFFFF"/>
        </w:rPr>
        <w:t>Second</w:t>
      </w:r>
      <w:r w:rsidRPr="003B7CB5">
        <w:rPr>
          <w:rFonts w:ascii="Garamond" w:hAnsi="Garamond" w:cs="Times New Roman"/>
          <w:color w:val="111111"/>
          <w:sz w:val="24"/>
          <w:szCs w:val="24"/>
          <w:shd w:val="clear" w:color="auto" w:fill="FFFFFF"/>
        </w:rPr>
        <w:t xml:space="preserve">, the principle of </w:t>
      </w:r>
      <w:proofErr w:type="spellStart"/>
      <w:r w:rsidRPr="0037046B">
        <w:rPr>
          <w:rFonts w:ascii="Garamond" w:hAnsi="Garamond" w:cs="Times New Roman"/>
          <w:i/>
          <w:color w:val="111111"/>
          <w:sz w:val="24"/>
          <w:szCs w:val="24"/>
          <w:shd w:val="clear" w:color="auto" w:fill="FFFFFF"/>
        </w:rPr>
        <w:t>shari'ah</w:t>
      </w:r>
      <w:proofErr w:type="spellEnd"/>
      <w:r w:rsidRPr="003B7CB5">
        <w:rPr>
          <w:rFonts w:ascii="Garamond" w:hAnsi="Garamond" w:cs="Times New Roman"/>
          <w:color w:val="111111"/>
          <w:sz w:val="24"/>
          <w:szCs w:val="24"/>
          <w:shd w:val="clear" w:color="auto" w:fill="FFFFFF"/>
        </w:rPr>
        <w:t xml:space="preserve"> in the restructuration of financing while maintaining the principle of compliance with the </w:t>
      </w:r>
      <w:proofErr w:type="spellStart"/>
      <w:r w:rsidRPr="0037046B">
        <w:rPr>
          <w:rFonts w:ascii="Garamond" w:hAnsi="Garamond" w:cs="Times New Roman"/>
          <w:i/>
          <w:color w:val="111111"/>
          <w:sz w:val="24"/>
          <w:szCs w:val="24"/>
          <w:shd w:val="clear" w:color="auto" w:fill="FFFFFF"/>
        </w:rPr>
        <w:t>shari'ah</w:t>
      </w:r>
      <w:proofErr w:type="spellEnd"/>
      <w:r w:rsidRPr="003B7CB5">
        <w:rPr>
          <w:rFonts w:ascii="Garamond" w:hAnsi="Garamond" w:cs="Times New Roman"/>
          <w:color w:val="111111"/>
          <w:sz w:val="24"/>
          <w:szCs w:val="24"/>
          <w:shd w:val="clear" w:color="auto" w:fill="FFFFFF"/>
        </w:rPr>
        <w:t xml:space="preserve"> is by paying attention to the </w:t>
      </w:r>
      <w:r w:rsidRPr="0037046B">
        <w:rPr>
          <w:rFonts w:ascii="Garamond" w:hAnsi="Garamond" w:cs="Times New Roman"/>
          <w:i/>
          <w:color w:val="111111"/>
          <w:sz w:val="24"/>
          <w:szCs w:val="24"/>
          <w:shd w:val="clear" w:color="auto" w:fill="FFFFFF"/>
        </w:rPr>
        <w:t xml:space="preserve">fatwas </w:t>
      </w:r>
      <w:r w:rsidRPr="003B7CB5">
        <w:rPr>
          <w:rFonts w:ascii="Garamond" w:hAnsi="Garamond" w:cs="Times New Roman"/>
          <w:color w:val="111111"/>
          <w:sz w:val="24"/>
          <w:szCs w:val="24"/>
          <w:shd w:val="clear" w:color="auto" w:fill="FFFFFF"/>
        </w:rPr>
        <w:t xml:space="preserve">of the </w:t>
      </w:r>
      <w:proofErr w:type="spellStart"/>
      <w:r w:rsidRPr="0037046B">
        <w:rPr>
          <w:rFonts w:ascii="Garamond" w:hAnsi="Garamond" w:cs="Times New Roman"/>
          <w:i/>
          <w:color w:val="111111"/>
          <w:sz w:val="24"/>
          <w:szCs w:val="24"/>
          <w:shd w:val="clear" w:color="auto" w:fill="FFFFFF"/>
        </w:rPr>
        <w:t>Shari'ah</w:t>
      </w:r>
      <w:proofErr w:type="spellEnd"/>
      <w:r w:rsidR="0037046B" w:rsidRPr="0037046B">
        <w:rPr>
          <w:rFonts w:ascii="Garamond" w:hAnsi="Garamond" w:cs="Times New Roman"/>
          <w:i/>
          <w:color w:val="111111"/>
          <w:sz w:val="24"/>
          <w:szCs w:val="24"/>
          <w:shd w:val="clear" w:color="auto" w:fill="FFFFFF"/>
          <w:lang w:val="id-ID"/>
        </w:rPr>
        <w:t xml:space="preserve"> </w:t>
      </w:r>
      <w:proofErr w:type="spellStart"/>
      <w:r w:rsidRPr="003B7CB5">
        <w:rPr>
          <w:rFonts w:ascii="Garamond" w:hAnsi="Garamond" w:cs="Times New Roman"/>
          <w:color w:val="111111"/>
          <w:sz w:val="24"/>
          <w:szCs w:val="24"/>
          <w:shd w:val="clear" w:color="auto" w:fill="FFFFFF"/>
        </w:rPr>
        <w:t>Ulema</w:t>
      </w:r>
      <w:proofErr w:type="spellEnd"/>
      <w:r w:rsidRPr="003B7CB5">
        <w:rPr>
          <w:rFonts w:ascii="Garamond" w:hAnsi="Garamond" w:cs="Times New Roman"/>
          <w:color w:val="111111"/>
          <w:sz w:val="24"/>
          <w:szCs w:val="24"/>
          <w:shd w:val="clear" w:color="auto" w:fill="FFFFFF"/>
        </w:rPr>
        <w:t xml:space="preserve"> Council, supervision carried out by DPS or the </w:t>
      </w:r>
      <w:proofErr w:type="spellStart"/>
      <w:r w:rsidRPr="0037046B">
        <w:rPr>
          <w:rFonts w:ascii="Garamond" w:hAnsi="Garamond" w:cs="Times New Roman"/>
          <w:i/>
          <w:color w:val="111111"/>
          <w:sz w:val="24"/>
          <w:szCs w:val="24"/>
          <w:shd w:val="clear" w:color="auto" w:fill="FFFFFF"/>
        </w:rPr>
        <w:t>Shari'ah</w:t>
      </w:r>
      <w:proofErr w:type="spellEnd"/>
      <w:r w:rsidRPr="003B7CB5">
        <w:rPr>
          <w:rFonts w:ascii="Garamond" w:hAnsi="Garamond" w:cs="Times New Roman"/>
          <w:color w:val="111111"/>
          <w:sz w:val="24"/>
          <w:szCs w:val="24"/>
          <w:shd w:val="clear" w:color="auto" w:fill="FFFFFF"/>
        </w:rPr>
        <w:t xml:space="preserve"> Supervisory Board both through opinions and </w:t>
      </w:r>
      <w:r w:rsidRPr="0037046B">
        <w:rPr>
          <w:rFonts w:ascii="Garamond" w:hAnsi="Garamond" w:cs="Times New Roman"/>
          <w:i/>
          <w:color w:val="111111"/>
          <w:sz w:val="24"/>
          <w:szCs w:val="24"/>
          <w:shd w:val="clear" w:color="auto" w:fill="FFFFFF"/>
        </w:rPr>
        <w:t>fatwas,</w:t>
      </w:r>
      <w:r w:rsidRPr="003B7CB5">
        <w:rPr>
          <w:rFonts w:ascii="Garamond" w:hAnsi="Garamond" w:cs="Times New Roman"/>
          <w:color w:val="111111"/>
          <w:sz w:val="24"/>
          <w:szCs w:val="24"/>
          <w:shd w:val="clear" w:color="auto" w:fill="FFFFFF"/>
        </w:rPr>
        <w:t xml:space="preserve"> </w:t>
      </w:r>
      <w:proofErr w:type="spellStart"/>
      <w:r w:rsidRPr="003B7CB5">
        <w:rPr>
          <w:rFonts w:ascii="Garamond" w:hAnsi="Garamond" w:cs="Times New Roman"/>
          <w:color w:val="111111"/>
          <w:sz w:val="24"/>
          <w:szCs w:val="24"/>
          <w:shd w:val="clear" w:color="auto" w:fill="FFFFFF"/>
        </w:rPr>
        <w:t>restukturization</w:t>
      </w:r>
      <w:proofErr w:type="spellEnd"/>
      <w:r w:rsidRPr="003B7CB5">
        <w:rPr>
          <w:rFonts w:ascii="Garamond" w:hAnsi="Garamond" w:cs="Times New Roman"/>
          <w:color w:val="111111"/>
          <w:sz w:val="24"/>
          <w:szCs w:val="24"/>
          <w:shd w:val="clear" w:color="auto" w:fill="FFFFFF"/>
        </w:rPr>
        <w:t xml:space="preserve"> of financing in the position of the Covid-19 pandemic based on the </w:t>
      </w:r>
      <w:proofErr w:type="spellStart"/>
      <w:r w:rsidRPr="0037046B">
        <w:rPr>
          <w:rFonts w:ascii="Garamond" w:hAnsi="Garamond" w:cs="Times New Roman"/>
          <w:i/>
          <w:color w:val="111111"/>
          <w:sz w:val="24"/>
          <w:szCs w:val="24"/>
          <w:shd w:val="clear" w:color="auto" w:fill="FFFFFF"/>
        </w:rPr>
        <w:t>mursalah</w:t>
      </w:r>
      <w:proofErr w:type="spellEnd"/>
      <w:r w:rsidRPr="003B7CB5">
        <w:rPr>
          <w:rFonts w:ascii="Garamond" w:hAnsi="Garamond" w:cs="Times New Roman"/>
          <w:color w:val="111111"/>
          <w:sz w:val="24"/>
          <w:szCs w:val="24"/>
          <w:shd w:val="clear" w:color="auto" w:fill="FFFFFF"/>
        </w:rPr>
        <w:t xml:space="preserve"> community in the </w:t>
      </w:r>
      <w:proofErr w:type="spellStart"/>
      <w:r w:rsidRPr="0037046B">
        <w:rPr>
          <w:rFonts w:ascii="Garamond" w:hAnsi="Garamond" w:cs="Times New Roman"/>
          <w:i/>
          <w:color w:val="111111"/>
          <w:sz w:val="24"/>
          <w:szCs w:val="24"/>
          <w:shd w:val="clear" w:color="auto" w:fill="FFFFFF"/>
        </w:rPr>
        <w:t>maqasid</w:t>
      </w:r>
      <w:proofErr w:type="spellEnd"/>
      <w:r w:rsidR="0037046B" w:rsidRPr="0037046B">
        <w:rPr>
          <w:rFonts w:ascii="Garamond" w:hAnsi="Garamond" w:cs="Times New Roman"/>
          <w:i/>
          <w:color w:val="111111"/>
          <w:sz w:val="24"/>
          <w:szCs w:val="24"/>
          <w:shd w:val="clear" w:color="auto" w:fill="FFFFFF"/>
          <w:lang w:val="id-ID"/>
        </w:rPr>
        <w:t xml:space="preserve"> </w:t>
      </w:r>
      <w:proofErr w:type="spellStart"/>
      <w:r w:rsidRPr="0037046B">
        <w:rPr>
          <w:rFonts w:ascii="Garamond" w:hAnsi="Garamond" w:cs="Times New Roman"/>
          <w:i/>
          <w:color w:val="111111"/>
          <w:sz w:val="24"/>
          <w:szCs w:val="24"/>
          <w:shd w:val="clear" w:color="auto" w:fill="FFFFFF"/>
        </w:rPr>
        <w:t>Syar'iyah</w:t>
      </w:r>
      <w:proofErr w:type="spellEnd"/>
      <w:r w:rsidRPr="003B7CB5">
        <w:rPr>
          <w:rFonts w:ascii="Garamond" w:hAnsi="Garamond" w:cs="Times New Roman"/>
          <w:color w:val="111111"/>
          <w:sz w:val="24"/>
          <w:szCs w:val="24"/>
          <w:shd w:val="clear" w:color="auto" w:fill="FFFFFF"/>
        </w:rPr>
        <w:t xml:space="preserve"> approach in maintaining a property or </w:t>
      </w:r>
      <w:proofErr w:type="spellStart"/>
      <w:r w:rsidRPr="003B7CB5">
        <w:rPr>
          <w:rFonts w:ascii="Garamond" w:hAnsi="Garamond" w:cs="Times New Roman"/>
          <w:color w:val="111111"/>
          <w:sz w:val="24"/>
          <w:szCs w:val="24"/>
          <w:shd w:val="clear" w:color="auto" w:fill="FFFFFF"/>
        </w:rPr>
        <w:t>Hifzulmaal</w:t>
      </w:r>
      <w:proofErr w:type="spellEnd"/>
      <w:r w:rsidRPr="003B7CB5">
        <w:rPr>
          <w:rFonts w:ascii="Garamond" w:hAnsi="Garamond" w:cs="Times New Roman"/>
          <w:color w:val="111111"/>
          <w:sz w:val="24"/>
          <w:szCs w:val="24"/>
          <w:shd w:val="clear" w:color="auto" w:fill="FFFFFF"/>
        </w:rPr>
        <w:t xml:space="preserve"> and maintaining the Soul or </w:t>
      </w:r>
      <w:proofErr w:type="spellStart"/>
      <w:r w:rsidRPr="0037046B">
        <w:rPr>
          <w:rFonts w:ascii="Garamond" w:hAnsi="Garamond" w:cs="Times New Roman"/>
          <w:i/>
          <w:color w:val="111111"/>
          <w:sz w:val="24"/>
          <w:szCs w:val="24"/>
          <w:shd w:val="clear" w:color="auto" w:fill="FFFFFF"/>
        </w:rPr>
        <w:t>Hifzul</w:t>
      </w:r>
      <w:proofErr w:type="spellEnd"/>
      <w:r w:rsidR="0037046B" w:rsidRPr="0037046B">
        <w:rPr>
          <w:rFonts w:ascii="Garamond" w:hAnsi="Garamond" w:cs="Times New Roman"/>
          <w:i/>
          <w:color w:val="111111"/>
          <w:sz w:val="24"/>
          <w:szCs w:val="24"/>
          <w:shd w:val="clear" w:color="auto" w:fill="FFFFFF"/>
          <w:lang w:val="id-ID"/>
        </w:rPr>
        <w:t xml:space="preserve"> </w:t>
      </w:r>
      <w:proofErr w:type="spellStart"/>
      <w:r w:rsidRPr="0037046B">
        <w:rPr>
          <w:rFonts w:ascii="Garamond" w:hAnsi="Garamond" w:cs="Times New Roman"/>
          <w:i/>
          <w:color w:val="111111"/>
          <w:sz w:val="24"/>
          <w:szCs w:val="24"/>
          <w:shd w:val="clear" w:color="auto" w:fill="FFFFFF"/>
        </w:rPr>
        <w:t>Nafs</w:t>
      </w:r>
      <w:proofErr w:type="spellEnd"/>
      <w:r w:rsidRPr="003B7CB5">
        <w:rPr>
          <w:rFonts w:ascii="Garamond" w:hAnsi="Garamond" w:cs="Times New Roman"/>
          <w:color w:val="111111"/>
          <w:sz w:val="24"/>
          <w:szCs w:val="24"/>
          <w:shd w:val="clear" w:color="auto" w:fill="FFFFFF"/>
        </w:rPr>
        <w:t>,</w:t>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the government's determination to restrict activities with PSBB and Lockdown during the Covid-19 pandemic as part of maintaining the soul to avoid the spread of the virus, and in maintaining economic losses, there are several policies for customers as communities and MSME actors who are mostly affected by cash assistance to survive and be able to rise again</w:t>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with its business activities while for financial institutions and customers together the form of maintaining a property or </w:t>
      </w:r>
      <w:proofErr w:type="spellStart"/>
      <w:r w:rsidRPr="0037046B">
        <w:rPr>
          <w:rFonts w:ascii="Garamond" w:hAnsi="Garamond" w:cs="Times New Roman"/>
          <w:i/>
          <w:color w:val="111111"/>
          <w:sz w:val="24"/>
          <w:szCs w:val="24"/>
          <w:shd w:val="clear" w:color="auto" w:fill="FFFFFF"/>
        </w:rPr>
        <w:t>hifzulmaal</w:t>
      </w:r>
      <w:proofErr w:type="spellEnd"/>
      <w:r w:rsidRPr="003B7CB5">
        <w:rPr>
          <w:rFonts w:ascii="Garamond" w:hAnsi="Garamond" w:cs="Times New Roman"/>
          <w:color w:val="111111"/>
          <w:sz w:val="24"/>
          <w:szCs w:val="24"/>
          <w:shd w:val="clear" w:color="auto" w:fill="FFFFFF"/>
        </w:rPr>
        <w:t xml:space="preserve"> is with a policy of restructuration of financing both production, consumption, working capital, and investment.</w:t>
      </w:r>
    </w:p>
    <w:p w:rsidR="000E0E96" w:rsidRPr="0037046B" w:rsidRDefault="000E0E96" w:rsidP="0037046B">
      <w:pPr>
        <w:pStyle w:val="NoSpacing"/>
        <w:spacing w:after="120"/>
        <w:ind w:left="0" w:firstLine="709"/>
        <w:jc w:val="both"/>
        <w:rPr>
          <w:rFonts w:ascii="Garamond" w:hAnsi="Garamond" w:cs="Times New Roman"/>
          <w:color w:val="111111"/>
          <w:sz w:val="24"/>
          <w:szCs w:val="24"/>
          <w:shd w:val="clear" w:color="auto" w:fill="FFFFFF"/>
          <w:lang w:val="id-ID"/>
        </w:rPr>
      </w:pPr>
      <w:r w:rsidRPr="003B7CB5">
        <w:rPr>
          <w:rFonts w:ascii="Garamond" w:hAnsi="Garamond" w:cs="Times New Roman"/>
          <w:color w:val="111111"/>
          <w:sz w:val="24"/>
          <w:szCs w:val="24"/>
          <w:shd w:val="clear" w:color="auto" w:fill="FFFFFF"/>
        </w:rPr>
        <w:t>The law of handling financing or receivables in Islam refers to letters</w:t>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Al- </w:t>
      </w:r>
      <w:r w:rsidR="0037046B" w:rsidRPr="003B7CB5">
        <w:rPr>
          <w:rFonts w:ascii="Garamond" w:hAnsi="Garamond" w:cs="Times New Roman"/>
          <w:color w:val="111111"/>
          <w:sz w:val="24"/>
          <w:szCs w:val="24"/>
          <w:shd w:val="clear" w:color="auto" w:fill="FFFFFF"/>
        </w:rPr>
        <w:t xml:space="preserve">Baqarah </w:t>
      </w:r>
      <w:r w:rsidRPr="003B7CB5">
        <w:rPr>
          <w:rFonts w:ascii="Garamond" w:hAnsi="Garamond" w:cs="Times New Roman"/>
          <w:color w:val="111111"/>
          <w:sz w:val="24"/>
          <w:szCs w:val="24"/>
          <w:shd w:val="clear" w:color="auto" w:fill="FFFFFF"/>
        </w:rPr>
        <w:t>ayat 280</w:t>
      </w:r>
      <w:r w:rsidRPr="003B7CB5">
        <w:rPr>
          <w:rStyle w:val="FootnoteReference"/>
          <w:rFonts w:ascii="Garamond" w:hAnsi="Garamond"/>
          <w:color w:val="111111"/>
          <w:sz w:val="24"/>
          <w:szCs w:val="24"/>
          <w:shd w:val="clear" w:color="auto" w:fill="FFFFFF"/>
        </w:rPr>
        <w:footnoteReference w:id="50"/>
      </w:r>
      <w:r w:rsidR="0037046B">
        <w:rPr>
          <w:rFonts w:ascii="Garamond" w:hAnsi="Garamond" w:cs="Times New Roman"/>
          <w:color w:val="111111"/>
          <w:sz w:val="24"/>
          <w:szCs w:val="24"/>
          <w:shd w:val="clear" w:color="auto" w:fill="FFFFFF"/>
          <w:lang w:val="id-ID"/>
        </w:rPr>
        <w:t>:</w:t>
      </w:r>
    </w:p>
    <w:p w:rsidR="000E0E96" w:rsidRPr="003B7CB5" w:rsidRDefault="000E0E96" w:rsidP="0037046B">
      <w:pPr>
        <w:pStyle w:val="NoSpacing"/>
        <w:spacing w:after="120"/>
        <w:ind w:left="0"/>
        <w:jc w:val="right"/>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tl/>
        </w:rPr>
        <w:t xml:space="preserve">وَ اِ نْ كاَ نَ ذُوْ عُسْرَ ةٍ فَنَظِرَ ةٌ اِ لَى مَيْسَرَ ةٍ , و اَنْ تَصَدّ قُوْا خَيْرٌ لَّكُمْ اَ نْ كُنْتُمْ تَعْلَمُو نَ.   </w:t>
      </w:r>
    </w:p>
    <w:p w:rsidR="000E0E96" w:rsidRPr="0037046B" w:rsidRDefault="000E0E96" w:rsidP="003B7CB5">
      <w:pPr>
        <w:pStyle w:val="NoSpacing"/>
        <w:spacing w:after="120"/>
        <w:ind w:left="0"/>
        <w:jc w:val="both"/>
        <w:rPr>
          <w:rFonts w:ascii="Garamond" w:hAnsi="Garamond" w:cs="Times New Roman"/>
          <w:color w:val="111111"/>
          <w:sz w:val="24"/>
          <w:szCs w:val="24"/>
          <w:shd w:val="clear" w:color="auto" w:fill="FFFFFF"/>
          <w:lang w:val="id-ID"/>
        </w:rPr>
      </w:pPr>
      <w:r w:rsidRPr="003B7CB5">
        <w:rPr>
          <w:rFonts w:ascii="Garamond" w:hAnsi="Garamond" w:cs="Times New Roman"/>
          <w:color w:val="111111"/>
          <w:sz w:val="24"/>
          <w:szCs w:val="24"/>
          <w:shd w:val="clear" w:color="auto" w:fill="FFFFFF"/>
        </w:rPr>
        <w:t xml:space="preserve">Meaning: </w:t>
      </w:r>
      <w:r w:rsidR="0037046B">
        <w:rPr>
          <w:rFonts w:ascii="Garamond" w:hAnsi="Garamond" w:cs="Times New Roman"/>
          <w:color w:val="111111"/>
          <w:sz w:val="24"/>
          <w:szCs w:val="24"/>
          <w:shd w:val="clear" w:color="auto" w:fill="FFFFFF"/>
          <w:lang w:val="id-ID"/>
        </w:rPr>
        <w:t>“</w:t>
      </w:r>
      <w:r w:rsidRPr="0037046B">
        <w:rPr>
          <w:rFonts w:ascii="Garamond" w:hAnsi="Garamond" w:cs="Times New Roman"/>
          <w:i/>
          <w:color w:val="111111"/>
          <w:sz w:val="24"/>
          <w:szCs w:val="24"/>
          <w:shd w:val="clear" w:color="auto" w:fill="FFFFFF"/>
        </w:rPr>
        <w:t>And if (the person in debt) is in trouble then give a grace period until he gets spaciousness, and if you make it better for you if you know (</w:t>
      </w:r>
      <w:proofErr w:type="spellStart"/>
      <w:r w:rsidRPr="0037046B">
        <w:rPr>
          <w:rFonts w:ascii="Garamond" w:hAnsi="Garamond" w:cs="Times New Roman"/>
          <w:i/>
          <w:color w:val="111111"/>
          <w:sz w:val="24"/>
          <w:szCs w:val="24"/>
          <w:shd w:val="clear" w:color="auto" w:fill="FFFFFF"/>
        </w:rPr>
        <w:t>Q.S.Al-baqarah</w:t>
      </w:r>
      <w:proofErr w:type="spellEnd"/>
      <w:r w:rsidRPr="0037046B">
        <w:rPr>
          <w:rFonts w:ascii="Garamond" w:hAnsi="Garamond" w:cs="Times New Roman"/>
          <w:i/>
          <w:color w:val="111111"/>
          <w:sz w:val="24"/>
          <w:szCs w:val="24"/>
          <w:shd w:val="clear" w:color="auto" w:fill="FFFFFF"/>
        </w:rPr>
        <w:t xml:space="preserve">: 280), in the interpretation of this verse explains how the person who has difficulty paying and paying off debts is mandatory by giving tough until the person can pay his debts and there is circumcision which is worth the goodness of almsgiving and abundant rewards when giving up some or all of them. </w:t>
      </w:r>
      <w:proofErr w:type="gramStart"/>
      <w:r w:rsidRPr="0037046B">
        <w:rPr>
          <w:rFonts w:ascii="Garamond" w:hAnsi="Garamond" w:cs="Times New Roman"/>
          <w:i/>
          <w:color w:val="111111"/>
          <w:sz w:val="24"/>
          <w:szCs w:val="24"/>
          <w:shd w:val="clear" w:color="auto" w:fill="FFFFFF"/>
        </w:rPr>
        <w:t>in</w:t>
      </w:r>
      <w:proofErr w:type="gramEnd"/>
      <w:r w:rsidRPr="0037046B">
        <w:rPr>
          <w:rFonts w:ascii="Garamond" w:hAnsi="Garamond" w:cs="Times New Roman"/>
          <w:i/>
          <w:color w:val="111111"/>
          <w:sz w:val="24"/>
          <w:szCs w:val="24"/>
          <w:shd w:val="clear" w:color="auto" w:fill="FFFFFF"/>
        </w:rPr>
        <w:t xml:space="preserve"> addition in the hadith, the Prophet explained the reward of almsgiving</w:t>
      </w:r>
      <w:r w:rsidR="0037046B">
        <w:rPr>
          <w:rFonts w:ascii="Garamond" w:hAnsi="Garamond" w:cs="Times New Roman"/>
          <w:color w:val="111111"/>
          <w:sz w:val="24"/>
          <w:szCs w:val="24"/>
          <w:shd w:val="clear" w:color="auto" w:fill="FFFFFF"/>
          <w:lang w:val="id-ID"/>
        </w:rPr>
        <w:t>.”</w:t>
      </w:r>
    </w:p>
    <w:p w:rsidR="000E0E96" w:rsidRPr="003B7CB5" w:rsidRDefault="000E0E96" w:rsidP="0037046B">
      <w:pPr>
        <w:pStyle w:val="NoSpacing"/>
        <w:spacing w:after="120"/>
        <w:ind w:left="0"/>
        <w:jc w:val="right"/>
        <w:rPr>
          <w:rFonts w:ascii="Garamond" w:hAnsi="Garamond"/>
          <w:color w:val="111111"/>
          <w:sz w:val="24"/>
          <w:szCs w:val="24"/>
          <w:shd w:val="clear" w:color="auto" w:fill="FFFFFF"/>
          <w:lang w:bidi="ar-DZ"/>
        </w:rPr>
      </w:pPr>
      <w:r w:rsidRPr="003B7CB5">
        <w:rPr>
          <w:rFonts w:ascii="Garamond" w:hAnsi="Garamond"/>
          <w:color w:val="111111"/>
          <w:sz w:val="24"/>
          <w:szCs w:val="24"/>
          <w:shd w:val="clear" w:color="auto" w:fill="FFFFFF"/>
          <w:rtl/>
          <w:lang w:bidi="ar-DZ"/>
        </w:rPr>
        <w:t>عَنِ ا بْنِ مَسسْعُوْ دٍ أَ نَّ النّبِيَّ صَلَّي الله عَليه و سلّم قا ل ماَ مِنْ مسلمٍ بقر صُ مسلماً قَرْ ضا مرَّ تينِ إلاّ كا ن كصد قتها مرّ ةً</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i/>
          <w:iCs/>
          <w:color w:val="111111"/>
          <w:sz w:val="24"/>
          <w:szCs w:val="24"/>
          <w:shd w:val="clear" w:color="auto" w:fill="FFFFFF"/>
        </w:rPr>
        <w:t>Ibn Mas'ud narrated that the Prophet (SAW), said " It is not a Muslim (they) who lends Muslims (others) twice unless the other is (worth) alms”</w:t>
      </w:r>
      <w:r w:rsidR="0037046B">
        <w:rPr>
          <w:rFonts w:ascii="Garamond" w:hAnsi="Garamond" w:cs="Times New Roman"/>
          <w:color w:val="111111"/>
          <w:sz w:val="24"/>
          <w:szCs w:val="24"/>
          <w:shd w:val="clear" w:color="auto" w:fill="FFFFFF"/>
        </w:rPr>
        <w:t xml:space="preserve"> </w:t>
      </w:r>
      <w:r w:rsidRPr="003B7CB5">
        <w:rPr>
          <w:rFonts w:ascii="Garamond" w:hAnsi="Garamond" w:cs="Times New Roman"/>
          <w:color w:val="111111"/>
          <w:sz w:val="24"/>
          <w:szCs w:val="24"/>
          <w:shd w:val="clear" w:color="auto" w:fill="FFFFFF"/>
        </w:rPr>
        <w:t xml:space="preserve">H.R. Ibnu </w:t>
      </w:r>
      <w:proofErr w:type="spellStart"/>
      <w:r w:rsidRPr="003B7CB5">
        <w:rPr>
          <w:rFonts w:ascii="Garamond" w:hAnsi="Garamond" w:cs="Times New Roman"/>
          <w:color w:val="111111"/>
          <w:sz w:val="24"/>
          <w:szCs w:val="24"/>
          <w:shd w:val="clear" w:color="auto" w:fill="FFFFFF"/>
        </w:rPr>
        <w:t>Majah</w:t>
      </w:r>
      <w:proofErr w:type="spellEnd"/>
      <w:r w:rsidRPr="003B7CB5">
        <w:rPr>
          <w:rFonts w:ascii="Garamond" w:hAnsi="Garamond" w:cs="Times New Roman"/>
          <w:color w:val="111111"/>
          <w:sz w:val="24"/>
          <w:szCs w:val="24"/>
          <w:shd w:val="clear" w:color="auto" w:fill="FFFFFF"/>
        </w:rPr>
        <w:t xml:space="preserve"> no 2421 </w:t>
      </w:r>
      <w:r w:rsidRPr="003B7CB5">
        <w:rPr>
          <w:rStyle w:val="FootnoteReference"/>
          <w:rFonts w:ascii="Garamond" w:hAnsi="Garamond"/>
          <w:color w:val="111111"/>
          <w:sz w:val="24"/>
          <w:szCs w:val="24"/>
          <w:shd w:val="clear" w:color="auto" w:fill="FFFFFF"/>
        </w:rPr>
        <w:footnoteReference w:id="51"/>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book </w:t>
      </w:r>
      <w:proofErr w:type="spellStart"/>
      <w:r w:rsidRPr="003B7CB5">
        <w:rPr>
          <w:rFonts w:ascii="Garamond" w:hAnsi="Garamond" w:cs="Times New Roman"/>
          <w:color w:val="111111"/>
          <w:sz w:val="24"/>
          <w:szCs w:val="24"/>
          <w:shd w:val="clear" w:color="auto" w:fill="FFFFFF"/>
        </w:rPr>
        <w:t>Ahkam</w:t>
      </w:r>
      <w:proofErr w:type="spellEnd"/>
      <w:r w:rsidRPr="003B7CB5">
        <w:rPr>
          <w:rFonts w:ascii="Garamond" w:hAnsi="Garamond" w:cs="Times New Roman"/>
          <w:color w:val="111111"/>
          <w:sz w:val="24"/>
          <w:szCs w:val="24"/>
          <w:shd w:val="clear" w:color="auto" w:fill="FFFFFF"/>
        </w:rPr>
        <w:t xml:space="preserve">; ibnu </w:t>
      </w:r>
      <w:proofErr w:type="spellStart"/>
      <w:r w:rsidRPr="003B7CB5">
        <w:rPr>
          <w:rFonts w:ascii="Garamond" w:hAnsi="Garamond" w:cs="Times New Roman"/>
          <w:color w:val="111111"/>
          <w:sz w:val="24"/>
          <w:szCs w:val="24"/>
          <w:shd w:val="clear" w:color="auto" w:fill="FFFFFF"/>
        </w:rPr>
        <w:t>Hibban</w:t>
      </w:r>
      <w:proofErr w:type="spellEnd"/>
      <w:r w:rsidRPr="003B7CB5">
        <w:rPr>
          <w:rFonts w:ascii="Garamond" w:hAnsi="Garamond" w:cs="Times New Roman"/>
          <w:color w:val="111111"/>
          <w:sz w:val="24"/>
          <w:szCs w:val="24"/>
          <w:shd w:val="clear" w:color="auto" w:fill="FFFFFF"/>
        </w:rPr>
        <w:t xml:space="preserve"> dan </w:t>
      </w:r>
      <w:proofErr w:type="spellStart"/>
      <w:r w:rsidRPr="003B7CB5">
        <w:rPr>
          <w:rFonts w:ascii="Garamond" w:hAnsi="Garamond" w:cs="Times New Roman"/>
          <w:color w:val="111111"/>
          <w:sz w:val="24"/>
          <w:szCs w:val="24"/>
          <w:shd w:val="clear" w:color="auto" w:fill="FFFFFF"/>
        </w:rPr>
        <w:t>Baihaqi</w:t>
      </w:r>
      <w:proofErr w:type="spellEnd"/>
      <w:r w:rsidRPr="003B7CB5">
        <w:rPr>
          <w:rStyle w:val="FootnoteReference"/>
          <w:rFonts w:ascii="Garamond" w:hAnsi="Garamond"/>
          <w:color w:val="111111"/>
          <w:sz w:val="24"/>
          <w:szCs w:val="24"/>
          <w:shd w:val="clear" w:color="auto" w:fill="FFFFFF"/>
        </w:rPr>
        <w:footnoteReference w:id="52"/>
      </w:r>
      <w:r w:rsidRPr="003B7CB5">
        <w:rPr>
          <w:rFonts w:ascii="Garamond" w:hAnsi="Garamond" w:cs="Times New Roman"/>
          <w:color w:val="111111"/>
          <w:sz w:val="24"/>
          <w:szCs w:val="24"/>
          <w:shd w:val="clear" w:color="auto" w:fill="FFFFFF"/>
        </w:rPr>
        <w:t>.</w:t>
      </w:r>
      <w:r w:rsidR="0037046B">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In another </w:t>
      </w:r>
      <w:r w:rsidRPr="0037046B">
        <w:rPr>
          <w:rFonts w:ascii="Garamond" w:hAnsi="Garamond" w:cs="Times New Roman"/>
          <w:i/>
          <w:color w:val="111111"/>
          <w:sz w:val="24"/>
          <w:szCs w:val="24"/>
          <w:shd w:val="clear" w:color="auto" w:fill="FFFFFF"/>
        </w:rPr>
        <w:t>hadith</w:t>
      </w:r>
      <w:r w:rsidRPr="003B7CB5">
        <w:rPr>
          <w:rFonts w:ascii="Garamond" w:hAnsi="Garamond" w:cs="Times New Roman"/>
          <w:color w:val="111111"/>
          <w:sz w:val="24"/>
          <w:szCs w:val="24"/>
          <w:shd w:val="clear" w:color="auto" w:fill="FFFFFF"/>
        </w:rPr>
        <w:t xml:space="preserve"> narrated the </w:t>
      </w:r>
      <w:r w:rsidRPr="003B7CB5">
        <w:rPr>
          <w:rFonts w:ascii="Garamond" w:hAnsi="Garamond" w:cs="Times New Roman"/>
          <w:color w:val="111111"/>
          <w:sz w:val="24"/>
          <w:szCs w:val="24"/>
          <w:shd w:val="clear" w:color="auto" w:fill="FFFFFF"/>
        </w:rPr>
        <w:lastRenderedPageBreak/>
        <w:t>prophet's hadith narrated by Al-</w:t>
      </w:r>
      <w:proofErr w:type="spellStart"/>
      <w:r w:rsidRPr="003B7CB5">
        <w:rPr>
          <w:rFonts w:ascii="Garamond" w:hAnsi="Garamond" w:cs="Times New Roman"/>
          <w:color w:val="111111"/>
          <w:sz w:val="24"/>
          <w:szCs w:val="24"/>
          <w:shd w:val="clear" w:color="auto" w:fill="FFFFFF"/>
        </w:rPr>
        <w:t>Thabrani</w:t>
      </w:r>
      <w:proofErr w:type="spellEnd"/>
      <w:r w:rsidRPr="003B7CB5">
        <w:rPr>
          <w:rFonts w:ascii="Garamond" w:hAnsi="Garamond" w:cs="Times New Roman"/>
          <w:color w:val="111111"/>
          <w:sz w:val="24"/>
          <w:szCs w:val="24"/>
          <w:shd w:val="clear" w:color="auto" w:fill="FFFFFF"/>
        </w:rPr>
        <w:t xml:space="preserve"> in al-</w:t>
      </w:r>
      <w:proofErr w:type="spellStart"/>
      <w:r w:rsidRPr="003B7CB5">
        <w:rPr>
          <w:rFonts w:ascii="Garamond" w:hAnsi="Garamond" w:cs="Times New Roman"/>
          <w:color w:val="111111"/>
          <w:sz w:val="24"/>
          <w:szCs w:val="24"/>
          <w:shd w:val="clear" w:color="auto" w:fill="FFFFFF"/>
        </w:rPr>
        <w:t>Kabir</w:t>
      </w:r>
      <w:proofErr w:type="spellEnd"/>
      <w:r w:rsidRPr="003B7CB5">
        <w:rPr>
          <w:rFonts w:ascii="Garamond" w:hAnsi="Garamond" w:cs="Times New Roman"/>
          <w:color w:val="111111"/>
          <w:sz w:val="24"/>
          <w:szCs w:val="24"/>
          <w:shd w:val="clear" w:color="auto" w:fill="FFFFFF"/>
        </w:rPr>
        <w:t xml:space="preserve"> and al hakim in al-</w:t>
      </w:r>
      <w:proofErr w:type="spellStart"/>
      <w:r w:rsidRPr="003B7CB5">
        <w:rPr>
          <w:rFonts w:ascii="Garamond" w:hAnsi="Garamond" w:cs="Times New Roman"/>
          <w:color w:val="111111"/>
          <w:sz w:val="24"/>
          <w:szCs w:val="24"/>
          <w:shd w:val="clear" w:color="auto" w:fill="FFFFFF"/>
        </w:rPr>
        <w:t>mustadrak</w:t>
      </w:r>
      <w:proofErr w:type="spellEnd"/>
      <w:r w:rsidRPr="003B7CB5">
        <w:rPr>
          <w:rStyle w:val="FootnoteReference"/>
          <w:rFonts w:ascii="Garamond" w:hAnsi="Garamond"/>
          <w:color w:val="111111"/>
          <w:sz w:val="24"/>
          <w:szCs w:val="24"/>
          <w:shd w:val="clear" w:color="auto" w:fill="FFFFFF"/>
        </w:rPr>
        <w:footnoteReference w:id="53"/>
      </w:r>
      <w:r w:rsidRPr="003B7CB5">
        <w:rPr>
          <w:rFonts w:ascii="Garamond" w:hAnsi="Garamond" w:cs="Times New Roman"/>
          <w:color w:val="111111"/>
          <w:sz w:val="24"/>
          <w:szCs w:val="24"/>
          <w:shd w:val="clear" w:color="auto" w:fill="FFFFFF"/>
        </w:rPr>
        <w:t>.</w:t>
      </w:r>
    </w:p>
    <w:p w:rsidR="000E0E96" w:rsidRPr="003B7CB5" w:rsidRDefault="000E0E96" w:rsidP="0037046B">
      <w:pPr>
        <w:pStyle w:val="NoSpacing"/>
        <w:spacing w:after="120"/>
        <w:ind w:left="0"/>
        <w:jc w:val="right"/>
        <w:rPr>
          <w:rFonts w:ascii="Garamond" w:hAnsi="Garamond"/>
          <w:color w:val="111111"/>
          <w:sz w:val="24"/>
          <w:szCs w:val="24"/>
          <w:shd w:val="clear" w:color="auto" w:fill="FFFFFF"/>
          <w:rtl/>
          <w:lang w:bidi="ar-EG"/>
        </w:rPr>
      </w:pPr>
      <w:r w:rsidRPr="003B7CB5">
        <w:rPr>
          <w:rFonts w:ascii="Garamond" w:hAnsi="Garamond"/>
          <w:color w:val="111111"/>
          <w:sz w:val="24"/>
          <w:szCs w:val="24"/>
          <w:shd w:val="clear" w:color="auto" w:fill="FFFFFF"/>
          <w:rtl/>
          <w:lang w:bidi="ar-DZ"/>
        </w:rPr>
        <w:t>ر و ى ا بنُ عبا س أ ن النبي صلى ا لله عليه و آ له و سلم لمّا أَ مَرَ بإِ خرَا جِ بني النصيرِ جا ءه نا سٌ منهم , فقاَ لو ا : يا نبيَّ ا لله , إ نكَ ا مَرْ تَ بإ خرَ جنا َو لناَ على النا س دُ يُوْ نٌ لَم تَحل , فقا ل ر سو ل ا لله صلَّى ا لله عليه وآ له و سلّم : ضعُوْا و تعجّلوا ( ر و ه  الطبرنى والحا كم فى المستدر ك و صححه)</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Ibn Abas narrated that when the Prophet ordered to expel the Children of </w:t>
      </w:r>
      <w:proofErr w:type="spellStart"/>
      <w:r w:rsidRPr="003B7CB5">
        <w:rPr>
          <w:rFonts w:ascii="Garamond" w:hAnsi="Garamond" w:cs="Times New Roman"/>
          <w:color w:val="111111"/>
          <w:sz w:val="24"/>
          <w:szCs w:val="24"/>
          <w:shd w:val="clear" w:color="auto" w:fill="FFFFFF"/>
        </w:rPr>
        <w:t>Nadhir</w:t>
      </w:r>
      <w:proofErr w:type="spellEnd"/>
      <w:r w:rsidRPr="003B7CB5">
        <w:rPr>
          <w:rFonts w:ascii="Garamond" w:hAnsi="Garamond" w:cs="Times New Roman"/>
          <w:color w:val="111111"/>
          <w:sz w:val="24"/>
          <w:szCs w:val="24"/>
          <w:shd w:val="clear" w:color="auto" w:fill="FFFFFF"/>
        </w:rPr>
        <w:t xml:space="preserve">, some of them came saying "O Prophet of Allah, you have commanded to expel us while we have receivables to those who are not yet due" then </w:t>
      </w:r>
      <w:proofErr w:type="spellStart"/>
      <w:r w:rsidRPr="003B7CB5">
        <w:rPr>
          <w:rFonts w:ascii="Garamond" w:hAnsi="Garamond" w:cs="Times New Roman"/>
          <w:color w:val="111111"/>
          <w:sz w:val="24"/>
          <w:szCs w:val="24"/>
          <w:shd w:val="clear" w:color="auto" w:fill="FFFFFF"/>
        </w:rPr>
        <w:t>Rasulallah</w:t>
      </w:r>
      <w:proofErr w:type="spellEnd"/>
      <w:r w:rsidRPr="003B7CB5">
        <w:rPr>
          <w:rFonts w:ascii="Garamond" w:hAnsi="Garamond" w:cs="Times New Roman"/>
          <w:color w:val="111111"/>
          <w:sz w:val="24"/>
          <w:szCs w:val="24"/>
          <w:shd w:val="clear" w:color="auto" w:fill="FFFFFF"/>
        </w:rPr>
        <w:t xml:space="preserve"> said "give leniency and charge faster" then </w:t>
      </w:r>
      <w:proofErr w:type="spellStart"/>
      <w:r w:rsidRPr="003B7CB5">
        <w:rPr>
          <w:rFonts w:ascii="Garamond" w:hAnsi="Garamond" w:cs="Times New Roman"/>
          <w:color w:val="111111"/>
          <w:sz w:val="24"/>
          <w:szCs w:val="24"/>
          <w:shd w:val="clear" w:color="auto" w:fill="FFFFFF"/>
        </w:rPr>
        <w:t>Rasulallah</w:t>
      </w:r>
      <w:proofErr w:type="spellEnd"/>
      <w:r w:rsidRPr="003B7CB5">
        <w:rPr>
          <w:rFonts w:ascii="Garamond" w:hAnsi="Garamond" w:cs="Times New Roman"/>
          <w:color w:val="111111"/>
          <w:sz w:val="24"/>
          <w:szCs w:val="24"/>
          <w:shd w:val="clear" w:color="auto" w:fill="FFFFFF"/>
        </w:rPr>
        <w:t xml:space="preserve"> said "give leniency and charge faster.”</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The verses of the Qur'an and the hadith can be seen to be an obligation and the sunah gives relief to receivables that cannot afford to pay it in their true circumstances with a mechanism that does not bring usury to seek benefit, in muamalah can also refer to </w:t>
      </w:r>
      <w:proofErr w:type="spellStart"/>
      <w:r w:rsidRPr="003B7CB5">
        <w:rPr>
          <w:rFonts w:ascii="Garamond" w:hAnsi="Garamond" w:cs="Times New Roman"/>
          <w:color w:val="111111"/>
          <w:sz w:val="24"/>
          <w:szCs w:val="24"/>
          <w:shd w:val="clear" w:color="auto" w:fill="FFFFFF"/>
        </w:rPr>
        <w:t>qowaidfikhiyah</w:t>
      </w:r>
      <w:proofErr w:type="spellEnd"/>
      <w:r w:rsidRPr="003B7CB5">
        <w:rPr>
          <w:rFonts w:ascii="Garamond" w:hAnsi="Garamond" w:cs="Times New Roman"/>
          <w:color w:val="111111"/>
          <w:sz w:val="24"/>
          <w:szCs w:val="24"/>
          <w:shd w:val="clear" w:color="auto" w:fill="FFFFFF"/>
        </w:rPr>
        <w:t xml:space="preserve"> mentioned the law of origin</w:t>
      </w:r>
    </w:p>
    <w:p w:rsidR="000E0E96" w:rsidRPr="003B7CB5" w:rsidRDefault="000E0E96" w:rsidP="0037046B">
      <w:pPr>
        <w:pStyle w:val="NoSpacing"/>
        <w:spacing w:after="120"/>
        <w:ind w:left="0"/>
        <w:jc w:val="right"/>
        <w:rPr>
          <w:rFonts w:ascii="Garamond" w:hAnsi="Garamond" w:cs="Times New Roman"/>
          <w:color w:val="111111"/>
          <w:sz w:val="24"/>
          <w:szCs w:val="24"/>
          <w:shd w:val="clear" w:color="auto" w:fill="FFFFFF"/>
          <w:rtl/>
          <w:lang w:bidi="ar-EG"/>
        </w:rPr>
      </w:pPr>
      <w:r w:rsidRPr="003B7CB5">
        <w:rPr>
          <w:rFonts w:ascii="Garamond" w:hAnsi="Garamond" w:cs="Times New Roman"/>
          <w:color w:val="111111"/>
          <w:sz w:val="24"/>
          <w:szCs w:val="24"/>
          <w:shd w:val="clear" w:color="auto" w:fill="FFFFFF"/>
          <w:rtl/>
          <w:lang w:bidi="ar-EG"/>
        </w:rPr>
        <w:t>ا لأ صلُ في ا لمعَا ملةِ الإ با حةُ إ لاَّ ان يدُ لَّ د ليلٌ على تحر يمهَا</w:t>
      </w:r>
    </w:p>
    <w:p w:rsidR="000E0E96" w:rsidRPr="003B7CB5" w:rsidRDefault="000E0E96" w:rsidP="003B7CB5">
      <w:pPr>
        <w:pStyle w:val="NoSpacing"/>
        <w:spacing w:after="120"/>
        <w:ind w:left="0"/>
        <w:jc w:val="both"/>
        <w:rPr>
          <w:rFonts w:ascii="Garamond" w:hAnsi="Garamond" w:cs="Times New Roman"/>
          <w:color w:val="111111"/>
          <w:sz w:val="24"/>
          <w:szCs w:val="24"/>
          <w:shd w:val="clear" w:color="auto" w:fill="FFFFFF"/>
        </w:rPr>
      </w:pPr>
      <w:r w:rsidRPr="003B7CB5">
        <w:rPr>
          <w:rFonts w:ascii="Garamond" w:hAnsi="Garamond" w:cs="Times New Roman"/>
          <w:i/>
          <w:iCs/>
          <w:color w:val="111111"/>
          <w:sz w:val="24"/>
          <w:szCs w:val="24"/>
          <w:shd w:val="clear" w:color="auto" w:fill="FFFFFF"/>
        </w:rPr>
        <w:t>“The law of origin of muamalah can be until there is a pretext that forbids it”</w:t>
      </w:r>
      <w:r w:rsidRPr="003B7CB5">
        <w:rPr>
          <w:rStyle w:val="FootnoteReference"/>
          <w:rFonts w:ascii="Garamond" w:hAnsi="Garamond"/>
          <w:color w:val="111111"/>
          <w:sz w:val="24"/>
          <w:szCs w:val="24"/>
          <w:shd w:val="clear" w:color="auto" w:fill="FFFFFF"/>
        </w:rPr>
        <w:footnoteReference w:id="54"/>
      </w:r>
    </w:p>
    <w:p w:rsidR="000E0E96" w:rsidRPr="003B7CB5" w:rsidRDefault="000E0E96" w:rsidP="0037046B">
      <w:pPr>
        <w:pStyle w:val="NoSpacing"/>
        <w:spacing w:after="120"/>
        <w:ind w:left="0"/>
        <w:jc w:val="right"/>
        <w:rPr>
          <w:rFonts w:ascii="Garamond" w:hAnsi="Garamond"/>
          <w:noProof/>
          <w:sz w:val="24"/>
          <w:szCs w:val="24"/>
        </w:rPr>
      </w:pPr>
      <w:r w:rsidRPr="003B7CB5">
        <w:rPr>
          <w:rFonts w:ascii="Garamond" w:hAnsi="Garamond"/>
          <w:noProof/>
          <w:sz w:val="24"/>
          <w:szCs w:val="24"/>
          <w:rtl/>
        </w:rPr>
        <w:t>الأ صل فى ا لا شيَا ء الاِ باَ حةُ حتى يقُوْم ا لدَّ ليلَ علىى تحر يمهِ</w:t>
      </w:r>
    </w:p>
    <w:p w:rsidR="000E0E96" w:rsidRPr="003B7CB5" w:rsidRDefault="000E0E96" w:rsidP="0037046B">
      <w:pPr>
        <w:pStyle w:val="NoSpacing"/>
        <w:spacing w:after="120"/>
        <w:ind w:left="0"/>
        <w:rPr>
          <w:rFonts w:ascii="Garamond" w:hAnsi="Garamond" w:cs="Times New Roman"/>
          <w:i/>
          <w:iCs/>
          <w:color w:val="111111"/>
          <w:sz w:val="24"/>
          <w:szCs w:val="24"/>
          <w:shd w:val="clear" w:color="auto" w:fill="FFFFFF"/>
        </w:rPr>
      </w:pPr>
      <w:r w:rsidRPr="003B7CB5">
        <w:rPr>
          <w:rFonts w:ascii="Garamond" w:hAnsi="Garamond" w:cs="Times New Roman"/>
          <w:i/>
          <w:iCs/>
          <w:color w:val="111111"/>
          <w:sz w:val="24"/>
          <w:szCs w:val="24"/>
          <w:shd w:val="clear" w:color="auto" w:fill="FFFFFF"/>
        </w:rPr>
        <w:t>“Basically, a law is okay unless there is a proposition that prohibits it”</w:t>
      </w:r>
      <w:r w:rsidRPr="003B7CB5">
        <w:rPr>
          <w:rStyle w:val="FootnoteReference"/>
          <w:rFonts w:ascii="Garamond" w:hAnsi="Garamond"/>
          <w:i/>
          <w:iCs/>
          <w:color w:val="111111"/>
          <w:sz w:val="24"/>
          <w:szCs w:val="24"/>
          <w:shd w:val="clear" w:color="auto" w:fill="FFFFFF"/>
        </w:rPr>
        <w:footnoteReference w:id="55"/>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Looking at the basis of the source of the </w:t>
      </w:r>
      <w:proofErr w:type="spellStart"/>
      <w:proofErr w:type="gramStart"/>
      <w:r w:rsidRPr="003B7CB5">
        <w:rPr>
          <w:rFonts w:ascii="Garamond" w:hAnsi="Garamond" w:cs="Times New Roman"/>
          <w:color w:val="111111"/>
          <w:sz w:val="24"/>
          <w:szCs w:val="24"/>
          <w:shd w:val="clear" w:color="auto" w:fill="FFFFFF"/>
        </w:rPr>
        <w:t>qur'an</w:t>
      </w:r>
      <w:proofErr w:type="spellEnd"/>
      <w:proofErr w:type="gramEnd"/>
      <w:r w:rsidRPr="003B7CB5">
        <w:rPr>
          <w:rFonts w:ascii="Garamond" w:hAnsi="Garamond" w:cs="Times New Roman"/>
          <w:color w:val="111111"/>
          <w:sz w:val="24"/>
          <w:szCs w:val="24"/>
          <w:shd w:val="clear" w:color="auto" w:fill="FFFFFF"/>
        </w:rPr>
        <w:t xml:space="preserve"> law, </w:t>
      </w:r>
      <w:r w:rsidRPr="0037046B">
        <w:rPr>
          <w:rFonts w:ascii="Garamond" w:hAnsi="Garamond" w:cs="Times New Roman"/>
          <w:i/>
          <w:color w:val="111111"/>
          <w:sz w:val="24"/>
          <w:szCs w:val="24"/>
          <w:shd w:val="clear" w:color="auto" w:fill="FFFFFF"/>
        </w:rPr>
        <w:t>hadith</w:t>
      </w:r>
      <w:r w:rsidRPr="003B7CB5">
        <w:rPr>
          <w:rFonts w:ascii="Garamond" w:hAnsi="Garamond" w:cs="Times New Roman"/>
          <w:color w:val="111111"/>
          <w:sz w:val="24"/>
          <w:szCs w:val="24"/>
          <w:shd w:val="clear" w:color="auto" w:fill="FFFFFF"/>
        </w:rPr>
        <w:t xml:space="preserve"> and </w:t>
      </w:r>
      <w:proofErr w:type="spellStart"/>
      <w:r w:rsidRPr="0037046B">
        <w:rPr>
          <w:rFonts w:ascii="Garamond" w:hAnsi="Garamond" w:cs="Times New Roman"/>
          <w:i/>
          <w:color w:val="111111"/>
          <w:sz w:val="24"/>
          <w:szCs w:val="24"/>
          <w:shd w:val="clear" w:color="auto" w:fill="FFFFFF"/>
        </w:rPr>
        <w:t>qowaid</w:t>
      </w:r>
      <w:proofErr w:type="spellEnd"/>
      <w:r w:rsidR="0037046B" w:rsidRPr="0037046B">
        <w:rPr>
          <w:rFonts w:ascii="Garamond" w:hAnsi="Garamond" w:cs="Times New Roman"/>
          <w:i/>
          <w:color w:val="111111"/>
          <w:sz w:val="24"/>
          <w:szCs w:val="24"/>
          <w:shd w:val="clear" w:color="auto" w:fill="FFFFFF"/>
          <w:lang w:val="id-ID"/>
        </w:rPr>
        <w:t xml:space="preserve"> </w:t>
      </w:r>
      <w:proofErr w:type="spellStart"/>
      <w:r w:rsidRPr="0037046B">
        <w:rPr>
          <w:rFonts w:ascii="Garamond" w:hAnsi="Garamond" w:cs="Times New Roman"/>
          <w:i/>
          <w:color w:val="111111"/>
          <w:sz w:val="24"/>
          <w:szCs w:val="24"/>
          <w:shd w:val="clear" w:color="auto" w:fill="FFFFFF"/>
        </w:rPr>
        <w:t>Fiqhiyah</w:t>
      </w:r>
      <w:proofErr w:type="spellEnd"/>
      <w:r w:rsidRPr="003B7CB5">
        <w:rPr>
          <w:rFonts w:ascii="Garamond" w:hAnsi="Garamond" w:cs="Times New Roman"/>
          <w:color w:val="111111"/>
          <w:sz w:val="24"/>
          <w:szCs w:val="24"/>
          <w:shd w:val="clear" w:color="auto" w:fill="FFFFFF"/>
        </w:rPr>
        <w:t xml:space="preserve"> in </w:t>
      </w:r>
      <w:r w:rsidRPr="0037046B">
        <w:rPr>
          <w:rFonts w:ascii="Garamond" w:hAnsi="Garamond" w:cs="Times New Roman"/>
          <w:i/>
          <w:color w:val="111111"/>
          <w:sz w:val="24"/>
          <w:szCs w:val="24"/>
          <w:shd w:val="clear" w:color="auto" w:fill="FFFFFF"/>
        </w:rPr>
        <w:t>muamalah</w:t>
      </w:r>
      <w:r w:rsidRPr="003B7CB5">
        <w:rPr>
          <w:rFonts w:ascii="Garamond" w:hAnsi="Garamond" w:cs="Times New Roman"/>
          <w:color w:val="111111"/>
          <w:sz w:val="24"/>
          <w:szCs w:val="24"/>
          <w:shd w:val="clear" w:color="auto" w:fill="FFFFFF"/>
        </w:rPr>
        <w:t>, that no proposition prohibits the restructuration of financing, even ordered and recommended, at the practical level financial institutions carry out st</w:t>
      </w:r>
      <w:r w:rsidR="0037046B">
        <w:rPr>
          <w:rFonts w:ascii="Garamond" w:hAnsi="Garamond" w:cs="Times New Roman"/>
          <w:color w:val="111111"/>
          <w:sz w:val="24"/>
          <w:szCs w:val="24"/>
          <w:shd w:val="clear" w:color="auto" w:fill="FFFFFF"/>
        </w:rPr>
        <w:t>ages in restructuration, namely</w:t>
      </w:r>
      <w:r w:rsidRPr="003B7CB5">
        <w:rPr>
          <w:rFonts w:ascii="Garamond" w:hAnsi="Garamond" w:cs="Times New Roman"/>
          <w:color w:val="111111"/>
          <w:sz w:val="24"/>
          <w:szCs w:val="24"/>
          <w:shd w:val="clear" w:color="auto" w:fill="FFFFFF"/>
        </w:rPr>
        <w:t>:</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Rescheduling, the scheme offered is the first delay in the principal of the loan, the rescheduling of the principal payment of the loan, the second the delay in the principal payment with the addition of margins</w:t>
      </w:r>
    </w:p>
    <w:p w:rsidR="000E0E96" w:rsidRPr="003B7CB5" w:rsidRDefault="000E0E96" w:rsidP="0037046B">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Realignment (Reconditioning), with the scheme of delaying the remainin</w:t>
      </w:r>
      <w:r w:rsidR="0037046B">
        <w:rPr>
          <w:rFonts w:ascii="Garamond" w:hAnsi="Garamond" w:cs="Times New Roman"/>
          <w:color w:val="111111"/>
          <w:sz w:val="24"/>
          <w:szCs w:val="24"/>
          <w:shd w:val="clear" w:color="auto" w:fill="FFFFFF"/>
        </w:rPr>
        <w:t>g principal, by PBI no. 14-15/PBI/</w:t>
      </w:r>
      <w:r w:rsidRPr="003B7CB5">
        <w:rPr>
          <w:rFonts w:ascii="Garamond" w:hAnsi="Garamond" w:cs="Times New Roman"/>
          <w:color w:val="111111"/>
          <w:sz w:val="24"/>
          <w:szCs w:val="24"/>
          <w:shd w:val="clear" w:color="auto" w:fill="FFFFFF"/>
        </w:rPr>
        <w:t xml:space="preserve">2012, classifies the criteria for the </w:t>
      </w:r>
      <w:r w:rsidRPr="003B7CB5">
        <w:rPr>
          <w:rFonts w:ascii="Garamond" w:hAnsi="Garamond" w:cs="Times New Roman"/>
          <w:color w:val="111111"/>
          <w:sz w:val="24"/>
          <w:szCs w:val="24"/>
          <w:shd w:val="clear" w:color="auto" w:fill="FFFFFF"/>
        </w:rPr>
        <w:lastRenderedPageBreak/>
        <w:t>quality of financing carried out by the debtor, among others, current criteria, thus attention, not smooth, doubtful, and stuck</w:t>
      </w:r>
    </w:p>
    <w:p w:rsidR="000E0E96" w:rsidRPr="0037046B" w:rsidRDefault="000E0E96" w:rsidP="003B7CB5">
      <w:pPr>
        <w:pStyle w:val="NoSpacing"/>
        <w:spacing w:after="120"/>
        <w:ind w:left="0"/>
        <w:jc w:val="both"/>
        <w:rPr>
          <w:rFonts w:ascii="Garamond" w:hAnsi="Garamond" w:cs="Times New Roman"/>
          <w:b/>
          <w:color w:val="111111"/>
          <w:sz w:val="24"/>
          <w:szCs w:val="24"/>
          <w:shd w:val="clear" w:color="auto" w:fill="FFFFFF"/>
        </w:rPr>
      </w:pPr>
      <w:r w:rsidRPr="0037046B">
        <w:rPr>
          <w:rFonts w:ascii="Garamond" w:hAnsi="Garamond" w:cs="Times New Roman"/>
          <w:b/>
          <w:color w:val="111111"/>
          <w:sz w:val="24"/>
          <w:szCs w:val="24"/>
          <w:shd w:val="clear" w:color="auto" w:fill="FFFFFF"/>
        </w:rPr>
        <w:t>Re-settlement (</w:t>
      </w:r>
      <w:proofErr w:type="spellStart"/>
      <w:r w:rsidRPr="0037046B">
        <w:rPr>
          <w:rFonts w:ascii="Garamond" w:hAnsi="Garamond" w:cs="Times New Roman"/>
          <w:b/>
          <w:color w:val="111111"/>
          <w:sz w:val="24"/>
          <w:szCs w:val="24"/>
          <w:shd w:val="clear" w:color="auto" w:fill="FFFFFF"/>
        </w:rPr>
        <w:t>Restukturing</w:t>
      </w:r>
      <w:proofErr w:type="spellEnd"/>
      <w:r w:rsidRPr="0037046B">
        <w:rPr>
          <w:rFonts w:ascii="Garamond" w:hAnsi="Garamond" w:cs="Times New Roman"/>
          <w:b/>
          <w:color w:val="111111"/>
          <w:sz w:val="24"/>
          <w:szCs w:val="24"/>
          <w:shd w:val="clear" w:color="auto" w:fill="FFFFFF"/>
        </w:rPr>
        <w:t>)</w:t>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Providing relief to those who have receivables and seeking maslahat between the two parties as part of the efforts to  restructuration problematic financing in financial institutions, financing restructuration schemes carried out by the relaxation of obligation payments both ratio and principal, the extension of the return period and the adjustment of ratio during </w:t>
      </w:r>
      <w:proofErr w:type="spellStart"/>
      <w:r w:rsidRPr="003B7CB5">
        <w:rPr>
          <w:rFonts w:ascii="Garamond" w:hAnsi="Garamond" w:cs="Times New Roman"/>
          <w:color w:val="111111"/>
          <w:sz w:val="24"/>
          <w:szCs w:val="24"/>
          <w:shd w:val="clear" w:color="auto" w:fill="FFFFFF"/>
        </w:rPr>
        <w:t>relaxation,This</w:t>
      </w:r>
      <w:proofErr w:type="spellEnd"/>
      <w:r w:rsidRPr="003B7CB5">
        <w:rPr>
          <w:rFonts w:ascii="Garamond" w:hAnsi="Garamond" w:cs="Times New Roman"/>
          <w:color w:val="111111"/>
          <w:sz w:val="24"/>
          <w:szCs w:val="24"/>
          <w:shd w:val="clear" w:color="auto" w:fill="FFFFFF"/>
        </w:rPr>
        <w:t xml:space="preserve"> model is carried out to relieve debtors for several reasons, one of which is the Covid-19 disaster, which is guaranteed in POJK No. 11/03/2020, as a national economic stimulus.</w:t>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To protect socially just economic activities and fair prosperity, economic activities must be balanced between profit (</w:t>
      </w:r>
      <w:proofErr w:type="spellStart"/>
      <w:r w:rsidRPr="009365A3">
        <w:rPr>
          <w:rFonts w:ascii="Garamond" w:hAnsi="Garamond" w:cs="Times New Roman"/>
          <w:i/>
          <w:color w:val="111111"/>
          <w:sz w:val="24"/>
          <w:szCs w:val="24"/>
          <w:shd w:val="clear" w:color="auto" w:fill="FFFFFF"/>
        </w:rPr>
        <w:t>tijarri</w:t>
      </w:r>
      <w:proofErr w:type="spellEnd"/>
      <w:r w:rsidRPr="003B7CB5">
        <w:rPr>
          <w:rFonts w:ascii="Garamond" w:hAnsi="Garamond" w:cs="Times New Roman"/>
          <w:color w:val="111111"/>
          <w:sz w:val="24"/>
          <w:szCs w:val="24"/>
          <w:shd w:val="clear" w:color="auto" w:fill="FFFFFF"/>
        </w:rPr>
        <w:t>) and non-profit (</w:t>
      </w:r>
      <w:proofErr w:type="spellStart"/>
      <w:r w:rsidRPr="009365A3">
        <w:rPr>
          <w:rFonts w:ascii="Garamond" w:hAnsi="Garamond" w:cs="Times New Roman"/>
          <w:i/>
          <w:color w:val="111111"/>
          <w:sz w:val="24"/>
          <w:szCs w:val="24"/>
          <w:shd w:val="clear" w:color="auto" w:fill="FFFFFF"/>
        </w:rPr>
        <w:t>Tabarru</w:t>
      </w:r>
      <w:proofErr w:type="spellEnd"/>
      <w:r w:rsidRPr="003B7CB5">
        <w:rPr>
          <w:rFonts w:ascii="Garamond" w:hAnsi="Garamond" w:cs="Times New Roman"/>
          <w:color w:val="111111"/>
          <w:sz w:val="24"/>
          <w:szCs w:val="24"/>
          <w:shd w:val="clear" w:color="auto" w:fill="FFFFFF"/>
        </w:rPr>
        <w:t xml:space="preserve">) for profit or </w:t>
      </w:r>
      <w:proofErr w:type="spellStart"/>
      <w:r w:rsidRPr="009365A3">
        <w:rPr>
          <w:rFonts w:ascii="Garamond" w:hAnsi="Garamond" w:cs="Times New Roman"/>
          <w:i/>
          <w:color w:val="111111"/>
          <w:sz w:val="24"/>
          <w:szCs w:val="24"/>
          <w:shd w:val="clear" w:color="auto" w:fill="FFFFFF"/>
        </w:rPr>
        <w:t>tijarri</w:t>
      </w:r>
      <w:proofErr w:type="spellEnd"/>
      <w:r w:rsidRPr="003B7CB5">
        <w:rPr>
          <w:rFonts w:ascii="Garamond" w:hAnsi="Garamond" w:cs="Times New Roman"/>
          <w:color w:val="111111"/>
          <w:sz w:val="24"/>
          <w:szCs w:val="24"/>
          <w:shd w:val="clear" w:color="auto" w:fill="FFFFFF"/>
        </w:rPr>
        <w:t xml:space="preserve"> in the implementation using </w:t>
      </w:r>
      <w:proofErr w:type="spellStart"/>
      <w:r w:rsidRPr="009365A3">
        <w:rPr>
          <w:rFonts w:ascii="Garamond" w:hAnsi="Garamond" w:cs="Times New Roman"/>
          <w:i/>
          <w:color w:val="111111"/>
          <w:sz w:val="24"/>
          <w:szCs w:val="24"/>
          <w:shd w:val="clear" w:color="auto" w:fill="FFFFFF"/>
        </w:rPr>
        <w:t>mudharabah</w:t>
      </w:r>
      <w:proofErr w:type="spellEnd"/>
      <w:r w:rsidRPr="003B7CB5">
        <w:rPr>
          <w:rFonts w:ascii="Garamond" w:hAnsi="Garamond" w:cs="Times New Roman"/>
          <w:color w:val="111111"/>
          <w:sz w:val="24"/>
          <w:szCs w:val="24"/>
          <w:shd w:val="clear" w:color="auto" w:fill="FFFFFF"/>
        </w:rPr>
        <w:t xml:space="preserve"> contracts, </w:t>
      </w:r>
      <w:proofErr w:type="spellStart"/>
      <w:r w:rsidRPr="009365A3">
        <w:rPr>
          <w:rFonts w:ascii="Garamond" w:hAnsi="Garamond" w:cs="Times New Roman"/>
          <w:i/>
          <w:color w:val="111111"/>
          <w:sz w:val="24"/>
          <w:szCs w:val="24"/>
          <w:shd w:val="clear" w:color="auto" w:fill="FFFFFF"/>
        </w:rPr>
        <w:t>musyaraka</w:t>
      </w:r>
      <w:r w:rsidRPr="003B7CB5">
        <w:rPr>
          <w:rFonts w:ascii="Garamond" w:hAnsi="Garamond" w:cs="Times New Roman"/>
          <w:color w:val="111111"/>
          <w:sz w:val="24"/>
          <w:szCs w:val="24"/>
          <w:shd w:val="clear" w:color="auto" w:fill="FFFFFF"/>
        </w:rPr>
        <w:t>h</w:t>
      </w:r>
      <w:proofErr w:type="spellEnd"/>
      <w:r w:rsidRPr="003B7CB5">
        <w:rPr>
          <w:rFonts w:ascii="Garamond" w:hAnsi="Garamond" w:cs="Times New Roman"/>
          <w:color w:val="111111"/>
          <w:sz w:val="24"/>
          <w:szCs w:val="24"/>
          <w:shd w:val="clear" w:color="auto" w:fill="FFFFFF"/>
        </w:rPr>
        <w:t xml:space="preserve">, buying and selling </w:t>
      </w:r>
      <w:proofErr w:type="spellStart"/>
      <w:r w:rsidRPr="009365A3">
        <w:rPr>
          <w:rFonts w:ascii="Garamond" w:hAnsi="Garamond" w:cs="Times New Roman"/>
          <w:i/>
          <w:color w:val="111111"/>
          <w:sz w:val="24"/>
          <w:szCs w:val="24"/>
          <w:shd w:val="clear" w:color="auto" w:fill="FFFFFF"/>
        </w:rPr>
        <w:t>murabahah</w:t>
      </w:r>
      <w:proofErr w:type="spellEnd"/>
      <w:r w:rsidRPr="009365A3">
        <w:rPr>
          <w:rFonts w:ascii="Garamond" w:hAnsi="Garamond" w:cs="Times New Roman"/>
          <w:i/>
          <w:color w:val="111111"/>
          <w:sz w:val="24"/>
          <w:szCs w:val="24"/>
          <w:shd w:val="clear" w:color="auto" w:fill="FFFFFF"/>
        </w:rPr>
        <w:t xml:space="preserve">, </w:t>
      </w:r>
      <w:proofErr w:type="spellStart"/>
      <w:r w:rsidRPr="009365A3">
        <w:rPr>
          <w:rFonts w:ascii="Garamond" w:hAnsi="Garamond" w:cs="Times New Roman"/>
          <w:i/>
          <w:color w:val="111111"/>
          <w:sz w:val="24"/>
          <w:szCs w:val="24"/>
          <w:shd w:val="clear" w:color="auto" w:fill="FFFFFF"/>
        </w:rPr>
        <w:t>istisna</w:t>
      </w:r>
      <w:proofErr w:type="spellEnd"/>
      <w:r w:rsidRPr="009365A3">
        <w:rPr>
          <w:rFonts w:ascii="Garamond" w:hAnsi="Garamond" w:cs="Times New Roman"/>
          <w:i/>
          <w:color w:val="111111"/>
          <w:sz w:val="24"/>
          <w:szCs w:val="24"/>
          <w:shd w:val="clear" w:color="auto" w:fill="FFFFFF"/>
        </w:rPr>
        <w:t xml:space="preserve">, salam </w:t>
      </w:r>
      <w:r w:rsidRPr="003B7CB5">
        <w:rPr>
          <w:rFonts w:ascii="Garamond" w:hAnsi="Garamond" w:cs="Times New Roman"/>
          <w:color w:val="111111"/>
          <w:sz w:val="24"/>
          <w:szCs w:val="24"/>
          <w:shd w:val="clear" w:color="auto" w:fill="FFFFFF"/>
        </w:rPr>
        <w:t xml:space="preserve">and </w:t>
      </w:r>
      <w:proofErr w:type="spellStart"/>
      <w:r w:rsidRPr="009365A3">
        <w:rPr>
          <w:rFonts w:ascii="Garamond" w:hAnsi="Garamond" w:cs="Times New Roman"/>
          <w:i/>
          <w:color w:val="111111"/>
          <w:sz w:val="24"/>
          <w:szCs w:val="24"/>
          <w:shd w:val="clear" w:color="auto" w:fill="FFFFFF"/>
        </w:rPr>
        <w:t>ijarah</w:t>
      </w:r>
      <w:proofErr w:type="spellEnd"/>
      <w:r w:rsidRPr="003B7CB5">
        <w:rPr>
          <w:rFonts w:ascii="Garamond" w:hAnsi="Garamond" w:cs="Times New Roman"/>
          <w:color w:val="111111"/>
          <w:sz w:val="24"/>
          <w:szCs w:val="24"/>
          <w:shd w:val="clear" w:color="auto" w:fill="FFFFFF"/>
        </w:rPr>
        <w:t xml:space="preserve">, while for non-profit or </w:t>
      </w:r>
      <w:proofErr w:type="spellStart"/>
      <w:r w:rsidRPr="009365A3">
        <w:rPr>
          <w:rFonts w:ascii="Garamond" w:hAnsi="Garamond" w:cs="Times New Roman"/>
          <w:i/>
          <w:color w:val="111111"/>
          <w:sz w:val="24"/>
          <w:szCs w:val="24"/>
          <w:shd w:val="clear" w:color="auto" w:fill="FFFFFF"/>
        </w:rPr>
        <w:t>tabarru</w:t>
      </w:r>
      <w:proofErr w:type="spellEnd"/>
      <w:r w:rsidRPr="009365A3">
        <w:rPr>
          <w:rFonts w:ascii="Garamond" w:hAnsi="Garamond" w:cs="Times New Roman"/>
          <w:i/>
          <w:color w:val="111111"/>
          <w:sz w:val="24"/>
          <w:szCs w:val="24"/>
          <w:shd w:val="clear" w:color="auto" w:fill="FFFFFF"/>
        </w:rPr>
        <w:t xml:space="preserve"> </w:t>
      </w:r>
      <w:r w:rsidRPr="003B7CB5">
        <w:rPr>
          <w:rFonts w:ascii="Garamond" w:hAnsi="Garamond" w:cs="Times New Roman"/>
          <w:color w:val="111111"/>
          <w:sz w:val="24"/>
          <w:szCs w:val="24"/>
          <w:shd w:val="clear" w:color="auto" w:fill="FFFFFF"/>
        </w:rPr>
        <w:t xml:space="preserve">using </w:t>
      </w:r>
      <w:r w:rsidRPr="009365A3">
        <w:rPr>
          <w:rFonts w:ascii="Garamond" w:hAnsi="Garamond" w:cs="Times New Roman"/>
          <w:i/>
          <w:color w:val="111111"/>
          <w:sz w:val="24"/>
          <w:szCs w:val="24"/>
          <w:shd w:val="clear" w:color="auto" w:fill="FFFFFF"/>
        </w:rPr>
        <w:t xml:space="preserve">zakat, </w:t>
      </w:r>
      <w:proofErr w:type="spellStart"/>
      <w:r w:rsidRPr="009365A3">
        <w:rPr>
          <w:rFonts w:ascii="Garamond" w:hAnsi="Garamond" w:cs="Times New Roman"/>
          <w:i/>
          <w:color w:val="111111"/>
          <w:sz w:val="24"/>
          <w:szCs w:val="24"/>
          <w:shd w:val="clear" w:color="auto" w:fill="FFFFFF"/>
        </w:rPr>
        <w:t>sodaqoh</w:t>
      </w:r>
      <w:proofErr w:type="spellEnd"/>
      <w:r w:rsidRPr="009365A3">
        <w:rPr>
          <w:rFonts w:ascii="Garamond" w:hAnsi="Garamond" w:cs="Times New Roman"/>
          <w:i/>
          <w:color w:val="111111"/>
          <w:sz w:val="24"/>
          <w:szCs w:val="24"/>
          <w:shd w:val="clear" w:color="auto" w:fill="FFFFFF"/>
        </w:rPr>
        <w:t xml:space="preserve">, infak, </w:t>
      </w:r>
      <w:proofErr w:type="spellStart"/>
      <w:r w:rsidRPr="009365A3">
        <w:rPr>
          <w:rFonts w:ascii="Garamond" w:hAnsi="Garamond" w:cs="Times New Roman"/>
          <w:i/>
          <w:color w:val="111111"/>
          <w:sz w:val="24"/>
          <w:szCs w:val="24"/>
          <w:shd w:val="clear" w:color="auto" w:fill="FFFFFF"/>
        </w:rPr>
        <w:t>waqf</w:t>
      </w:r>
      <w:proofErr w:type="spellEnd"/>
      <w:r w:rsidRPr="003B7CB5">
        <w:rPr>
          <w:rFonts w:ascii="Garamond" w:hAnsi="Garamond" w:cs="Times New Roman"/>
          <w:color w:val="111111"/>
          <w:sz w:val="24"/>
          <w:szCs w:val="24"/>
          <w:shd w:val="clear" w:color="auto" w:fill="FFFFFF"/>
        </w:rPr>
        <w:t xml:space="preserve"> and </w:t>
      </w:r>
      <w:proofErr w:type="spellStart"/>
      <w:r w:rsidRPr="009365A3">
        <w:rPr>
          <w:rFonts w:ascii="Garamond" w:hAnsi="Garamond" w:cs="Times New Roman"/>
          <w:i/>
          <w:color w:val="111111"/>
          <w:sz w:val="24"/>
          <w:szCs w:val="24"/>
          <w:shd w:val="clear" w:color="auto" w:fill="FFFFFF"/>
        </w:rPr>
        <w:t>qordul</w:t>
      </w:r>
      <w:proofErr w:type="spellEnd"/>
      <w:r w:rsidRPr="009365A3">
        <w:rPr>
          <w:rFonts w:ascii="Garamond" w:hAnsi="Garamond" w:cs="Times New Roman"/>
          <w:i/>
          <w:color w:val="111111"/>
          <w:sz w:val="24"/>
          <w:szCs w:val="24"/>
          <w:shd w:val="clear" w:color="auto" w:fill="FFFFFF"/>
        </w:rPr>
        <w:t xml:space="preserve"> hasan</w:t>
      </w:r>
      <w:r w:rsidRPr="003B7CB5">
        <w:rPr>
          <w:rFonts w:ascii="Garamond" w:hAnsi="Garamond" w:cs="Times New Roman"/>
          <w:color w:val="111111"/>
          <w:sz w:val="24"/>
          <w:szCs w:val="24"/>
          <w:shd w:val="clear" w:color="auto" w:fill="FFFFFF"/>
        </w:rPr>
        <w:t xml:space="preserve"> contracts</w:t>
      </w:r>
      <w:r w:rsidRPr="003B7CB5">
        <w:rPr>
          <w:rStyle w:val="FootnoteReference"/>
          <w:rFonts w:ascii="Garamond" w:hAnsi="Garamond"/>
          <w:color w:val="111111"/>
          <w:sz w:val="24"/>
          <w:szCs w:val="24"/>
          <w:shd w:val="clear" w:color="auto" w:fill="FFFFFF"/>
        </w:rPr>
        <w:footnoteReference w:id="56"/>
      </w:r>
      <w:r w:rsidRPr="003B7CB5">
        <w:rPr>
          <w:rFonts w:ascii="Garamond" w:hAnsi="Garamond" w:cs="Times New Roman"/>
          <w:color w:val="111111"/>
          <w:sz w:val="24"/>
          <w:szCs w:val="24"/>
          <w:shd w:val="clear" w:color="auto" w:fill="FFFFFF"/>
        </w:rPr>
        <w:t xml:space="preserve">. </w:t>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In its implementation restructuration is carried out with a cut of </w:t>
      </w:r>
      <w:r w:rsidR="009365A3">
        <w:rPr>
          <w:rFonts w:ascii="Garamond" w:hAnsi="Garamond" w:cs="Times New Roman"/>
          <w:color w:val="111111"/>
          <w:sz w:val="24"/>
          <w:szCs w:val="24"/>
          <w:shd w:val="clear" w:color="auto" w:fill="FFFFFF"/>
          <w:lang w:val="id-ID"/>
        </w:rPr>
        <w:t>i</w:t>
      </w:r>
      <w:r w:rsidRPr="003B7CB5">
        <w:rPr>
          <w:rFonts w:ascii="Garamond" w:hAnsi="Garamond" w:cs="Times New Roman"/>
          <w:color w:val="111111"/>
          <w:sz w:val="24"/>
          <w:szCs w:val="24"/>
          <w:shd w:val="clear" w:color="auto" w:fill="FFFFFF"/>
        </w:rPr>
        <w:t xml:space="preserve"> bill stipulated in fatwa no. 46</w:t>
      </w:r>
      <w:r w:rsidRPr="003B7CB5">
        <w:rPr>
          <w:rStyle w:val="FootnoteReference"/>
          <w:rFonts w:ascii="Garamond" w:hAnsi="Garamond"/>
          <w:color w:val="111111"/>
          <w:sz w:val="24"/>
          <w:szCs w:val="24"/>
          <w:shd w:val="clear" w:color="auto" w:fill="FFFFFF"/>
        </w:rPr>
        <w:footnoteReference w:id="57"/>
      </w:r>
      <w:r w:rsidRPr="003B7CB5">
        <w:rPr>
          <w:rFonts w:ascii="Garamond" w:hAnsi="Garamond" w:cs="Times New Roman"/>
          <w:color w:val="111111"/>
          <w:sz w:val="24"/>
          <w:szCs w:val="24"/>
          <w:shd w:val="clear" w:color="auto" w:fill="FFFFFF"/>
        </w:rPr>
        <w:t xml:space="preserve">, restructuration with the conversion of contracts that are motivated by very heavy inability such as </w:t>
      </w:r>
      <w:proofErr w:type="spellStart"/>
      <w:r w:rsidRPr="009365A3">
        <w:rPr>
          <w:rFonts w:ascii="Garamond" w:hAnsi="Garamond" w:cs="Times New Roman"/>
          <w:i/>
          <w:color w:val="111111"/>
          <w:sz w:val="24"/>
          <w:szCs w:val="24"/>
          <w:shd w:val="clear" w:color="auto" w:fill="FFFFFF"/>
        </w:rPr>
        <w:t>murabahah</w:t>
      </w:r>
      <w:proofErr w:type="spellEnd"/>
      <w:r w:rsidRPr="009365A3">
        <w:rPr>
          <w:rFonts w:ascii="Garamond" w:hAnsi="Garamond" w:cs="Times New Roman"/>
          <w:i/>
          <w:color w:val="111111"/>
          <w:sz w:val="24"/>
          <w:szCs w:val="24"/>
          <w:shd w:val="clear" w:color="auto" w:fill="FFFFFF"/>
        </w:rPr>
        <w:t xml:space="preserve"> </w:t>
      </w:r>
      <w:r w:rsidRPr="003B7CB5">
        <w:rPr>
          <w:rFonts w:ascii="Garamond" w:hAnsi="Garamond" w:cs="Times New Roman"/>
          <w:color w:val="111111"/>
          <w:sz w:val="24"/>
          <w:szCs w:val="24"/>
          <w:shd w:val="clear" w:color="auto" w:fill="FFFFFF"/>
        </w:rPr>
        <w:t xml:space="preserve">can be applied </w:t>
      </w:r>
      <w:proofErr w:type="spellStart"/>
      <w:r w:rsidRPr="009365A3">
        <w:rPr>
          <w:rFonts w:ascii="Garamond" w:hAnsi="Garamond" w:cs="Times New Roman"/>
          <w:i/>
          <w:color w:val="111111"/>
          <w:sz w:val="24"/>
          <w:szCs w:val="24"/>
          <w:shd w:val="clear" w:color="auto" w:fill="FFFFFF"/>
        </w:rPr>
        <w:t>qordul</w:t>
      </w:r>
      <w:proofErr w:type="spellEnd"/>
      <w:r w:rsidRPr="009365A3">
        <w:rPr>
          <w:rFonts w:ascii="Garamond" w:hAnsi="Garamond" w:cs="Times New Roman"/>
          <w:i/>
          <w:color w:val="111111"/>
          <w:sz w:val="24"/>
          <w:szCs w:val="24"/>
          <w:shd w:val="clear" w:color="auto" w:fill="FFFFFF"/>
        </w:rPr>
        <w:t xml:space="preserve"> hasan</w:t>
      </w:r>
      <w:r w:rsidRPr="003B7CB5">
        <w:rPr>
          <w:rFonts w:ascii="Garamond" w:hAnsi="Garamond" w:cs="Times New Roman"/>
          <w:color w:val="111111"/>
          <w:sz w:val="24"/>
          <w:szCs w:val="24"/>
          <w:shd w:val="clear" w:color="auto" w:fill="FFFFFF"/>
        </w:rPr>
        <w:t xml:space="preserve"> contract, which is contained in the fatwa number 47</w:t>
      </w:r>
      <w:r w:rsidRPr="003B7CB5">
        <w:rPr>
          <w:rStyle w:val="FootnoteReference"/>
          <w:rFonts w:ascii="Garamond" w:hAnsi="Garamond"/>
          <w:color w:val="111111"/>
          <w:sz w:val="24"/>
          <w:szCs w:val="24"/>
          <w:shd w:val="clear" w:color="auto" w:fill="FFFFFF"/>
        </w:rPr>
        <w:footnoteReference w:id="58"/>
      </w:r>
      <w:r w:rsidRPr="003B7CB5">
        <w:rPr>
          <w:rFonts w:ascii="Garamond" w:hAnsi="Garamond" w:cs="Times New Roman"/>
          <w:color w:val="111111"/>
          <w:sz w:val="24"/>
          <w:szCs w:val="24"/>
          <w:shd w:val="clear" w:color="auto" w:fill="FFFFFF"/>
        </w:rPr>
        <w:t xml:space="preserve">, determination of </w:t>
      </w:r>
      <w:proofErr w:type="spellStart"/>
      <w:r w:rsidRPr="009365A3">
        <w:rPr>
          <w:rFonts w:ascii="Garamond" w:hAnsi="Garamond" w:cs="Times New Roman"/>
          <w:i/>
          <w:color w:val="111111"/>
          <w:sz w:val="24"/>
          <w:szCs w:val="24"/>
          <w:shd w:val="clear" w:color="auto" w:fill="FFFFFF"/>
        </w:rPr>
        <w:t>qordul</w:t>
      </w:r>
      <w:proofErr w:type="spellEnd"/>
      <w:r w:rsidRPr="009365A3">
        <w:rPr>
          <w:rFonts w:ascii="Garamond" w:hAnsi="Garamond" w:cs="Times New Roman"/>
          <w:i/>
          <w:color w:val="111111"/>
          <w:sz w:val="24"/>
          <w:szCs w:val="24"/>
          <w:shd w:val="clear" w:color="auto" w:fill="FFFFFF"/>
        </w:rPr>
        <w:t xml:space="preserve"> Hasan</w:t>
      </w:r>
      <w:r w:rsidRPr="003B7CB5">
        <w:rPr>
          <w:rFonts w:ascii="Garamond" w:hAnsi="Garamond" w:cs="Times New Roman"/>
          <w:color w:val="111111"/>
          <w:sz w:val="24"/>
          <w:szCs w:val="24"/>
          <w:shd w:val="clear" w:color="auto" w:fill="FFFFFF"/>
        </w:rPr>
        <w:t xml:space="preserve"> financing there is a return obligation according to the time of the agreement, there are real costs as administration, there are guarantees when needed, there are voluntary additions that are not promised and if there is incapacity until the time then LKS may eliminate some or all financing obligations</w:t>
      </w:r>
      <w:r w:rsidRPr="003B7CB5">
        <w:rPr>
          <w:rStyle w:val="FootnoteReference"/>
          <w:rFonts w:ascii="Garamond" w:hAnsi="Garamond"/>
          <w:color w:val="111111"/>
          <w:sz w:val="24"/>
          <w:szCs w:val="24"/>
          <w:shd w:val="clear" w:color="auto" w:fill="FFFFFF"/>
        </w:rPr>
        <w:footnoteReference w:id="59"/>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proofErr w:type="spellStart"/>
      <w:r w:rsidRPr="009365A3">
        <w:rPr>
          <w:rFonts w:ascii="Garamond" w:hAnsi="Garamond" w:cs="Times New Roman"/>
          <w:i/>
          <w:color w:val="111111"/>
          <w:sz w:val="24"/>
          <w:szCs w:val="24"/>
          <w:shd w:val="clear" w:color="auto" w:fill="FFFFFF"/>
        </w:rPr>
        <w:t>Qordul</w:t>
      </w:r>
      <w:proofErr w:type="spellEnd"/>
      <w:r w:rsidRPr="009365A3">
        <w:rPr>
          <w:rFonts w:ascii="Garamond" w:hAnsi="Garamond" w:cs="Times New Roman"/>
          <w:i/>
          <w:color w:val="111111"/>
          <w:sz w:val="24"/>
          <w:szCs w:val="24"/>
          <w:shd w:val="clear" w:color="auto" w:fill="FFFFFF"/>
        </w:rPr>
        <w:t xml:space="preserve"> hasan</w:t>
      </w:r>
      <w:r w:rsidRPr="003B7CB5">
        <w:rPr>
          <w:rFonts w:ascii="Garamond" w:hAnsi="Garamond" w:cs="Times New Roman"/>
          <w:color w:val="111111"/>
          <w:sz w:val="24"/>
          <w:szCs w:val="24"/>
          <w:shd w:val="clear" w:color="auto" w:fill="FFFFFF"/>
        </w:rPr>
        <w:t xml:space="preserve"> has a strong potential for social and for financial institutions because it contains an element of flexibility in use, and restructuration in the </w:t>
      </w:r>
      <w:r w:rsidRPr="003B7CB5">
        <w:rPr>
          <w:rFonts w:ascii="Garamond" w:hAnsi="Garamond" w:cs="Times New Roman"/>
          <w:color w:val="111111"/>
          <w:sz w:val="24"/>
          <w:szCs w:val="24"/>
          <w:shd w:val="clear" w:color="auto" w:fill="FFFFFF"/>
        </w:rPr>
        <w:lastRenderedPageBreak/>
        <w:t xml:space="preserve">presence of payment delays and rescheduling of </w:t>
      </w:r>
      <w:proofErr w:type="spellStart"/>
      <w:r w:rsidRPr="003B7CB5">
        <w:rPr>
          <w:rFonts w:ascii="Garamond" w:hAnsi="Garamond" w:cs="Times New Roman"/>
          <w:color w:val="111111"/>
          <w:sz w:val="24"/>
          <w:szCs w:val="24"/>
          <w:shd w:val="clear" w:color="auto" w:fill="FFFFFF"/>
        </w:rPr>
        <w:t>murabahah</w:t>
      </w:r>
      <w:proofErr w:type="spellEnd"/>
      <w:r w:rsidRPr="003B7CB5">
        <w:rPr>
          <w:rFonts w:ascii="Garamond" w:hAnsi="Garamond" w:cs="Times New Roman"/>
          <w:color w:val="111111"/>
          <w:sz w:val="24"/>
          <w:szCs w:val="24"/>
          <w:shd w:val="clear" w:color="auto" w:fill="FFFFFF"/>
        </w:rPr>
        <w:t xml:space="preserve"> bills stipulated in the fatwa no 48 </w:t>
      </w:r>
      <w:r w:rsidRPr="003B7CB5">
        <w:rPr>
          <w:rStyle w:val="FootnoteReference"/>
          <w:rFonts w:ascii="Garamond" w:hAnsi="Garamond"/>
          <w:color w:val="111111"/>
          <w:sz w:val="24"/>
          <w:szCs w:val="24"/>
          <w:shd w:val="clear" w:color="auto" w:fill="FFFFFF"/>
        </w:rPr>
        <w:footnoteReference w:id="60"/>
      </w:r>
      <w:r w:rsidRPr="003B7CB5">
        <w:rPr>
          <w:rFonts w:ascii="Garamond" w:hAnsi="Garamond" w:cs="Times New Roman"/>
          <w:color w:val="111111"/>
          <w:sz w:val="24"/>
          <w:szCs w:val="24"/>
          <w:shd w:val="clear" w:color="auto" w:fill="FFFFFF"/>
        </w:rPr>
        <w:t>and fatwa no 04</w:t>
      </w:r>
      <w:r w:rsidRPr="003B7CB5">
        <w:rPr>
          <w:rStyle w:val="FootnoteReference"/>
          <w:rFonts w:ascii="Garamond" w:hAnsi="Garamond"/>
          <w:color w:val="111111"/>
          <w:sz w:val="24"/>
          <w:szCs w:val="24"/>
          <w:shd w:val="clear" w:color="auto" w:fill="FFFFFF"/>
        </w:rPr>
        <w:footnoteReference w:id="61"/>
      </w:r>
      <w:r w:rsidRPr="003B7CB5">
        <w:rPr>
          <w:rFonts w:ascii="Garamond" w:hAnsi="Garamond" w:cs="Times New Roman"/>
          <w:color w:val="111111"/>
          <w:sz w:val="24"/>
          <w:szCs w:val="24"/>
          <w:shd w:val="clear" w:color="auto" w:fill="FFFFFF"/>
        </w:rPr>
        <w:t>.</w:t>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cs="Times New Roman"/>
          <w:color w:val="111111"/>
          <w:sz w:val="24"/>
          <w:szCs w:val="24"/>
          <w:shd w:val="clear" w:color="auto" w:fill="FFFFFF"/>
        </w:rPr>
        <w:t xml:space="preserve">Some cases of restructuration are widely applied to </w:t>
      </w:r>
      <w:proofErr w:type="spellStart"/>
      <w:r w:rsidRPr="003B7CB5">
        <w:rPr>
          <w:rFonts w:ascii="Garamond" w:hAnsi="Garamond" w:cs="Times New Roman"/>
          <w:color w:val="111111"/>
          <w:sz w:val="24"/>
          <w:szCs w:val="24"/>
          <w:shd w:val="clear" w:color="auto" w:fill="FFFFFF"/>
        </w:rPr>
        <w:t>murabahah</w:t>
      </w:r>
      <w:proofErr w:type="spellEnd"/>
      <w:r w:rsidRPr="003B7CB5">
        <w:rPr>
          <w:rFonts w:ascii="Garamond" w:hAnsi="Garamond" w:cs="Times New Roman"/>
          <w:color w:val="111111"/>
          <w:sz w:val="24"/>
          <w:szCs w:val="24"/>
          <w:shd w:val="clear" w:color="auto" w:fill="FFFFFF"/>
        </w:rPr>
        <w:t xml:space="preserve"> contracts because debt-based contracts are increasingly in demand compared to financing contracts with profit-sharing schemes</w:t>
      </w:r>
      <w:r w:rsidRPr="003B7CB5">
        <w:rPr>
          <w:rStyle w:val="FootnoteReference"/>
          <w:rFonts w:ascii="Garamond" w:hAnsi="Garamond"/>
          <w:color w:val="111111"/>
          <w:sz w:val="24"/>
          <w:szCs w:val="24"/>
          <w:shd w:val="clear" w:color="auto" w:fill="FFFFFF"/>
        </w:rPr>
        <w:footnoteReference w:id="62"/>
      </w:r>
      <w:r w:rsidRPr="003B7CB5">
        <w:rPr>
          <w:rFonts w:ascii="Garamond" w:hAnsi="Garamond" w:cs="Times New Roman"/>
          <w:color w:val="111111"/>
          <w:sz w:val="24"/>
          <w:szCs w:val="24"/>
          <w:shd w:val="clear" w:color="auto" w:fill="FFFFFF"/>
        </w:rPr>
        <w:t xml:space="preserve">, supervision of </w:t>
      </w:r>
      <w:proofErr w:type="spellStart"/>
      <w:r w:rsidRPr="003B7CB5">
        <w:rPr>
          <w:rFonts w:ascii="Garamond" w:hAnsi="Garamond" w:cs="Times New Roman"/>
          <w:color w:val="111111"/>
          <w:sz w:val="24"/>
          <w:szCs w:val="24"/>
          <w:shd w:val="clear" w:color="auto" w:fill="FFFFFF"/>
        </w:rPr>
        <w:t>shari'ah</w:t>
      </w:r>
      <w:proofErr w:type="spellEnd"/>
      <w:r w:rsidRPr="003B7CB5">
        <w:rPr>
          <w:rFonts w:ascii="Garamond" w:hAnsi="Garamond" w:cs="Times New Roman"/>
          <w:color w:val="111111"/>
          <w:sz w:val="24"/>
          <w:szCs w:val="24"/>
          <w:shd w:val="clear" w:color="auto" w:fill="FFFFFF"/>
        </w:rPr>
        <w:t xml:space="preserve"> compliance is a highlight in maintaining the purpose of the </w:t>
      </w:r>
      <w:proofErr w:type="spellStart"/>
      <w:r w:rsidRPr="003B7CB5">
        <w:rPr>
          <w:rFonts w:ascii="Garamond" w:hAnsi="Garamond" w:cs="Times New Roman"/>
          <w:color w:val="111111"/>
          <w:sz w:val="24"/>
          <w:szCs w:val="24"/>
          <w:shd w:val="clear" w:color="auto" w:fill="FFFFFF"/>
        </w:rPr>
        <w:t>syar'iahmaqasid</w:t>
      </w:r>
      <w:proofErr w:type="spellEnd"/>
      <w:r w:rsidRPr="003B7CB5">
        <w:rPr>
          <w:rFonts w:ascii="Garamond" w:hAnsi="Garamond" w:cs="Times New Roman"/>
          <w:color w:val="111111"/>
          <w:sz w:val="24"/>
          <w:szCs w:val="24"/>
          <w:shd w:val="clear" w:color="auto" w:fill="FFFFFF"/>
        </w:rPr>
        <w:t xml:space="preserve"> which is a condition with moral and ethical standards, in the practical order there is a gap between debt-based financing contracts such as </w:t>
      </w:r>
      <w:proofErr w:type="spellStart"/>
      <w:r w:rsidRPr="003B7CB5">
        <w:rPr>
          <w:rFonts w:ascii="Garamond" w:hAnsi="Garamond" w:cs="Times New Roman"/>
          <w:color w:val="111111"/>
          <w:sz w:val="24"/>
          <w:szCs w:val="24"/>
          <w:shd w:val="clear" w:color="auto" w:fill="FFFFFF"/>
        </w:rPr>
        <w:t>murabahah</w:t>
      </w:r>
      <w:proofErr w:type="spellEnd"/>
      <w:r w:rsidRPr="003B7CB5">
        <w:rPr>
          <w:rFonts w:ascii="Garamond" w:hAnsi="Garamond" w:cs="Times New Roman"/>
          <w:color w:val="111111"/>
          <w:sz w:val="24"/>
          <w:szCs w:val="24"/>
          <w:shd w:val="clear" w:color="auto" w:fill="FFFFFF"/>
        </w:rPr>
        <w:t xml:space="preserve"> with the use of money that is not by the purpose of using money in the contract.</w:t>
      </w:r>
      <w:r w:rsidRPr="003B7CB5">
        <w:rPr>
          <w:rStyle w:val="FootnoteReference"/>
          <w:rFonts w:ascii="Garamond" w:hAnsi="Garamond"/>
          <w:color w:val="000000"/>
          <w:sz w:val="24"/>
          <w:szCs w:val="24"/>
          <w:shd w:val="clear" w:color="auto" w:fill="FFFFFF"/>
        </w:rPr>
        <w:footnoteReference w:id="63"/>
      </w:r>
    </w:p>
    <w:p w:rsidR="000E0E96" w:rsidRPr="009365A3" w:rsidRDefault="009365A3" w:rsidP="003B7CB5">
      <w:pPr>
        <w:pStyle w:val="NoSpacing"/>
        <w:spacing w:after="120"/>
        <w:ind w:left="0"/>
        <w:jc w:val="both"/>
        <w:rPr>
          <w:rFonts w:ascii="Garamond" w:hAnsi="Garamond"/>
          <w:b/>
          <w:color w:val="000000"/>
          <w:sz w:val="24"/>
          <w:szCs w:val="24"/>
        </w:rPr>
      </w:pPr>
      <w:r w:rsidRPr="009365A3">
        <w:rPr>
          <w:rFonts w:ascii="Garamond" w:hAnsi="Garamond"/>
          <w:b/>
          <w:color w:val="000000"/>
          <w:sz w:val="24"/>
          <w:szCs w:val="24"/>
        </w:rPr>
        <w:t>CONCLUSIONS</w:t>
      </w:r>
    </w:p>
    <w:p w:rsidR="000E0E96" w:rsidRPr="003B7CB5" w:rsidRDefault="000E0E96" w:rsidP="009365A3">
      <w:pPr>
        <w:pStyle w:val="NoSpacing"/>
        <w:spacing w:after="120"/>
        <w:ind w:left="0" w:firstLine="709"/>
        <w:jc w:val="both"/>
        <w:rPr>
          <w:rFonts w:ascii="Garamond" w:hAnsi="Garamond"/>
          <w:sz w:val="24"/>
          <w:szCs w:val="24"/>
          <w:lang w:val="nl-NL"/>
        </w:rPr>
      </w:pPr>
      <w:r w:rsidRPr="003B7CB5">
        <w:rPr>
          <w:rFonts w:ascii="Garamond" w:hAnsi="Garamond"/>
          <w:sz w:val="24"/>
          <w:szCs w:val="24"/>
          <w:lang w:val="nl-NL"/>
        </w:rPr>
        <w:t>Restukturization of problematic financing in seeking benefit between the two parties becomes mandatory and becomes a circumcision based on the character of the financing, the maslahah approach in maintaining hipzul maal is part of the syar'iah maqasid in meeting the needs of squander, primary and tertiary under the principles of shari'ah.The restructuration scheme containing the maslahah mursalah for both parties by not violating the law of the ministry of wisdom is the addition of a tenor containing an element of riba called faskh al dain or qaib al-dain, the existence of compensation from restructuration with the addition of the number of receivables beyond the real cost for operational.</w:t>
      </w:r>
    </w:p>
    <w:p w:rsidR="000E0E96" w:rsidRPr="003B7CB5" w:rsidRDefault="000E0E96" w:rsidP="009365A3">
      <w:pPr>
        <w:pStyle w:val="NoSpacing"/>
        <w:spacing w:after="120"/>
        <w:ind w:left="0" w:firstLine="709"/>
        <w:jc w:val="both"/>
        <w:rPr>
          <w:rFonts w:ascii="Garamond" w:hAnsi="Garamond" w:cs="Times New Roman"/>
          <w:color w:val="111111"/>
          <w:sz w:val="24"/>
          <w:szCs w:val="24"/>
          <w:shd w:val="clear" w:color="auto" w:fill="FFFFFF"/>
        </w:rPr>
      </w:pPr>
      <w:r w:rsidRPr="003B7CB5">
        <w:rPr>
          <w:rFonts w:ascii="Garamond" w:hAnsi="Garamond"/>
          <w:sz w:val="24"/>
          <w:szCs w:val="24"/>
          <w:lang w:val="nl-NL"/>
        </w:rPr>
        <w:t>The problematic financing faced by banks requires the right solution from various points of view of studies, legal approaches, BPI, as part of compliance with regulations, and the compliance of shari'ah regulated in fatwas with the tadhbiq ahkam approach.</w:t>
      </w:r>
      <w:r w:rsidRPr="003B7CB5">
        <w:rPr>
          <w:rFonts w:ascii="Garamond" w:hAnsi="Garamond" w:cs="Times New Roman"/>
          <w:color w:val="111111"/>
          <w:sz w:val="24"/>
          <w:szCs w:val="24"/>
          <w:shd w:val="clear" w:color="auto" w:fill="FFFFFF"/>
        </w:rPr>
        <w:t xml:space="preserve">Providing relief to those who have receivables and seeking </w:t>
      </w:r>
      <w:r w:rsidRPr="009365A3">
        <w:rPr>
          <w:rFonts w:ascii="Garamond" w:hAnsi="Garamond" w:cs="Times New Roman"/>
          <w:i/>
          <w:color w:val="111111"/>
          <w:sz w:val="24"/>
          <w:szCs w:val="24"/>
          <w:shd w:val="clear" w:color="auto" w:fill="FFFFFF"/>
        </w:rPr>
        <w:t>maslahat</w:t>
      </w:r>
      <w:r w:rsidRPr="003B7CB5">
        <w:rPr>
          <w:rFonts w:ascii="Garamond" w:hAnsi="Garamond" w:cs="Times New Roman"/>
          <w:color w:val="111111"/>
          <w:sz w:val="24"/>
          <w:szCs w:val="24"/>
          <w:shd w:val="clear" w:color="auto" w:fill="FFFFFF"/>
        </w:rPr>
        <w:t xml:space="preserve"> between the two parties as part of the efforts to  restructuration problematic financing in financial institutions, financing restructuration schemes carried out by the relaxation of obligation payments both ratio and principal, the extension of the return period and the adjustment of ratio during relaxation,</w:t>
      </w:r>
      <w:r w:rsidR="009365A3">
        <w:rPr>
          <w:rFonts w:ascii="Garamond" w:hAnsi="Garamond" w:cs="Times New Roman"/>
          <w:color w:val="111111"/>
          <w:sz w:val="24"/>
          <w:szCs w:val="24"/>
          <w:shd w:val="clear" w:color="auto" w:fill="FFFFFF"/>
          <w:lang w:val="id-ID"/>
        </w:rPr>
        <w:t xml:space="preserve"> </w:t>
      </w:r>
      <w:r w:rsidRPr="003B7CB5">
        <w:rPr>
          <w:rFonts w:ascii="Garamond" w:hAnsi="Garamond" w:cs="Times New Roman"/>
          <w:color w:val="111111"/>
          <w:sz w:val="24"/>
          <w:szCs w:val="24"/>
          <w:shd w:val="clear" w:color="auto" w:fill="FFFFFF"/>
        </w:rPr>
        <w:t xml:space="preserve">This model is carried out to relieve debtors for several reasons, one of which is the Covid-19 disaster, which is guaranteed in POJK No. </w:t>
      </w:r>
      <w:proofErr w:type="gramStart"/>
      <w:r w:rsidRPr="003B7CB5">
        <w:rPr>
          <w:rFonts w:ascii="Garamond" w:hAnsi="Garamond" w:cs="Times New Roman"/>
          <w:color w:val="111111"/>
          <w:sz w:val="24"/>
          <w:szCs w:val="24"/>
          <w:shd w:val="clear" w:color="auto" w:fill="FFFFFF"/>
        </w:rPr>
        <w:t>11/03/2020, as a national economic stimulus.</w:t>
      </w:r>
      <w:proofErr w:type="gramEnd"/>
    </w:p>
    <w:p w:rsidR="000E0E96" w:rsidRPr="006C0DEF" w:rsidRDefault="000E0E96" w:rsidP="009365A3">
      <w:pPr>
        <w:pStyle w:val="NoSpacing"/>
        <w:spacing w:after="120"/>
        <w:ind w:left="0" w:firstLine="709"/>
        <w:jc w:val="both"/>
        <w:rPr>
          <w:rFonts w:ascii="Garamond" w:hAnsi="Garamond"/>
          <w:sz w:val="24"/>
          <w:szCs w:val="24"/>
          <w:lang w:val="id-ID"/>
        </w:rPr>
      </w:pPr>
      <w:r w:rsidRPr="003B7CB5">
        <w:rPr>
          <w:rFonts w:ascii="Garamond" w:hAnsi="Garamond" w:cs="Times New Roman"/>
          <w:color w:val="111111"/>
          <w:sz w:val="24"/>
          <w:szCs w:val="24"/>
          <w:shd w:val="clear" w:color="auto" w:fill="FFFFFF"/>
        </w:rPr>
        <w:lastRenderedPageBreak/>
        <w:t>To protect socially just economic activities and fair prosperity, economic activities must be balanced between profit (</w:t>
      </w:r>
      <w:proofErr w:type="spellStart"/>
      <w:r w:rsidRPr="009365A3">
        <w:rPr>
          <w:rFonts w:ascii="Garamond" w:hAnsi="Garamond" w:cs="Times New Roman"/>
          <w:i/>
          <w:color w:val="111111"/>
          <w:sz w:val="24"/>
          <w:szCs w:val="24"/>
          <w:shd w:val="clear" w:color="auto" w:fill="FFFFFF"/>
        </w:rPr>
        <w:t>tijarri</w:t>
      </w:r>
      <w:proofErr w:type="spellEnd"/>
      <w:r w:rsidRPr="003B7CB5">
        <w:rPr>
          <w:rFonts w:ascii="Garamond" w:hAnsi="Garamond" w:cs="Times New Roman"/>
          <w:color w:val="111111"/>
          <w:sz w:val="24"/>
          <w:szCs w:val="24"/>
          <w:shd w:val="clear" w:color="auto" w:fill="FFFFFF"/>
        </w:rPr>
        <w:t>) and non-profit (</w:t>
      </w:r>
      <w:proofErr w:type="spellStart"/>
      <w:r w:rsidRPr="009365A3">
        <w:rPr>
          <w:rFonts w:ascii="Garamond" w:hAnsi="Garamond" w:cs="Times New Roman"/>
          <w:i/>
          <w:color w:val="111111"/>
          <w:sz w:val="24"/>
          <w:szCs w:val="24"/>
          <w:shd w:val="clear" w:color="auto" w:fill="FFFFFF"/>
        </w:rPr>
        <w:t>Tabarru</w:t>
      </w:r>
      <w:proofErr w:type="spellEnd"/>
      <w:r w:rsidRPr="003B7CB5">
        <w:rPr>
          <w:rFonts w:ascii="Garamond" w:hAnsi="Garamond" w:cs="Times New Roman"/>
          <w:color w:val="111111"/>
          <w:sz w:val="24"/>
          <w:szCs w:val="24"/>
          <w:shd w:val="clear" w:color="auto" w:fill="FFFFFF"/>
        </w:rPr>
        <w:t xml:space="preserve">) for profit or </w:t>
      </w:r>
      <w:proofErr w:type="spellStart"/>
      <w:r w:rsidRPr="009365A3">
        <w:rPr>
          <w:rFonts w:ascii="Garamond" w:hAnsi="Garamond" w:cs="Times New Roman"/>
          <w:i/>
          <w:color w:val="111111"/>
          <w:sz w:val="24"/>
          <w:szCs w:val="24"/>
          <w:shd w:val="clear" w:color="auto" w:fill="FFFFFF"/>
        </w:rPr>
        <w:t>tijarri</w:t>
      </w:r>
      <w:proofErr w:type="spellEnd"/>
      <w:r w:rsidRPr="003B7CB5">
        <w:rPr>
          <w:rFonts w:ascii="Garamond" w:hAnsi="Garamond" w:cs="Times New Roman"/>
          <w:color w:val="111111"/>
          <w:sz w:val="24"/>
          <w:szCs w:val="24"/>
          <w:shd w:val="clear" w:color="auto" w:fill="FFFFFF"/>
        </w:rPr>
        <w:t xml:space="preserve"> in the implementation using </w:t>
      </w:r>
      <w:proofErr w:type="spellStart"/>
      <w:r w:rsidRPr="009365A3">
        <w:rPr>
          <w:rFonts w:ascii="Garamond" w:hAnsi="Garamond" w:cs="Times New Roman"/>
          <w:i/>
          <w:color w:val="111111"/>
          <w:sz w:val="24"/>
          <w:szCs w:val="24"/>
          <w:shd w:val="clear" w:color="auto" w:fill="FFFFFF"/>
        </w:rPr>
        <w:t>mudharabah</w:t>
      </w:r>
      <w:proofErr w:type="spellEnd"/>
      <w:r w:rsidRPr="003B7CB5">
        <w:rPr>
          <w:rFonts w:ascii="Garamond" w:hAnsi="Garamond" w:cs="Times New Roman"/>
          <w:color w:val="111111"/>
          <w:sz w:val="24"/>
          <w:szCs w:val="24"/>
          <w:shd w:val="clear" w:color="auto" w:fill="FFFFFF"/>
        </w:rPr>
        <w:t xml:space="preserve"> contracts, </w:t>
      </w:r>
      <w:proofErr w:type="spellStart"/>
      <w:r w:rsidRPr="009365A3">
        <w:rPr>
          <w:rFonts w:ascii="Garamond" w:hAnsi="Garamond" w:cs="Times New Roman"/>
          <w:i/>
          <w:color w:val="111111"/>
          <w:sz w:val="24"/>
          <w:szCs w:val="24"/>
          <w:shd w:val="clear" w:color="auto" w:fill="FFFFFF"/>
        </w:rPr>
        <w:t>musyarakah</w:t>
      </w:r>
      <w:proofErr w:type="spellEnd"/>
      <w:r w:rsidRPr="003B7CB5">
        <w:rPr>
          <w:rFonts w:ascii="Garamond" w:hAnsi="Garamond" w:cs="Times New Roman"/>
          <w:color w:val="111111"/>
          <w:sz w:val="24"/>
          <w:szCs w:val="24"/>
          <w:shd w:val="clear" w:color="auto" w:fill="FFFFFF"/>
        </w:rPr>
        <w:t xml:space="preserve">, buying and selling </w:t>
      </w:r>
      <w:proofErr w:type="spellStart"/>
      <w:r w:rsidRPr="009365A3">
        <w:rPr>
          <w:rFonts w:ascii="Garamond" w:hAnsi="Garamond" w:cs="Times New Roman"/>
          <w:i/>
          <w:color w:val="111111"/>
          <w:sz w:val="24"/>
          <w:szCs w:val="24"/>
          <w:shd w:val="clear" w:color="auto" w:fill="FFFFFF"/>
        </w:rPr>
        <w:t>murabahah</w:t>
      </w:r>
      <w:proofErr w:type="spellEnd"/>
      <w:r w:rsidRPr="009365A3">
        <w:rPr>
          <w:rFonts w:ascii="Garamond" w:hAnsi="Garamond" w:cs="Times New Roman"/>
          <w:i/>
          <w:color w:val="111111"/>
          <w:sz w:val="24"/>
          <w:szCs w:val="24"/>
          <w:shd w:val="clear" w:color="auto" w:fill="FFFFFF"/>
        </w:rPr>
        <w:t xml:space="preserve">, </w:t>
      </w:r>
      <w:proofErr w:type="spellStart"/>
      <w:r w:rsidRPr="009365A3">
        <w:rPr>
          <w:rFonts w:ascii="Garamond" w:hAnsi="Garamond" w:cs="Times New Roman"/>
          <w:i/>
          <w:color w:val="111111"/>
          <w:sz w:val="24"/>
          <w:szCs w:val="24"/>
          <w:shd w:val="clear" w:color="auto" w:fill="FFFFFF"/>
        </w:rPr>
        <w:t>istisna</w:t>
      </w:r>
      <w:proofErr w:type="spellEnd"/>
      <w:r w:rsidRPr="009365A3">
        <w:rPr>
          <w:rFonts w:ascii="Garamond" w:hAnsi="Garamond" w:cs="Times New Roman"/>
          <w:i/>
          <w:color w:val="111111"/>
          <w:sz w:val="24"/>
          <w:szCs w:val="24"/>
          <w:shd w:val="clear" w:color="auto" w:fill="FFFFFF"/>
        </w:rPr>
        <w:t>, salam</w:t>
      </w:r>
      <w:r w:rsidRPr="003B7CB5">
        <w:rPr>
          <w:rFonts w:ascii="Garamond" w:hAnsi="Garamond" w:cs="Times New Roman"/>
          <w:color w:val="111111"/>
          <w:sz w:val="24"/>
          <w:szCs w:val="24"/>
          <w:shd w:val="clear" w:color="auto" w:fill="FFFFFF"/>
        </w:rPr>
        <w:t xml:space="preserve"> and </w:t>
      </w:r>
      <w:proofErr w:type="spellStart"/>
      <w:r w:rsidRPr="009365A3">
        <w:rPr>
          <w:rFonts w:ascii="Garamond" w:hAnsi="Garamond" w:cs="Times New Roman"/>
          <w:i/>
          <w:color w:val="111111"/>
          <w:sz w:val="24"/>
          <w:szCs w:val="24"/>
          <w:shd w:val="clear" w:color="auto" w:fill="FFFFFF"/>
        </w:rPr>
        <w:t>ijarah</w:t>
      </w:r>
      <w:proofErr w:type="spellEnd"/>
      <w:r w:rsidR="009365A3">
        <w:rPr>
          <w:rFonts w:ascii="Garamond" w:hAnsi="Garamond" w:cs="Times New Roman"/>
          <w:color w:val="111111"/>
          <w:sz w:val="24"/>
          <w:szCs w:val="24"/>
          <w:shd w:val="clear" w:color="auto" w:fill="FFFFFF"/>
        </w:rPr>
        <w:t>,</w:t>
      </w:r>
      <w:r w:rsidRPr="003B7CB5">
        <w:rPr>
          <w:rFonts w:ascii="Garamond" w:hAnsi="Garamond" w:cs="Times New Roman"/>
          <w:color w:val="111111"/>
          <w:sz w:val="24"/>
          <w:szCs w:val="24"/>
          <w:shd w:val="clear" w:color="auto" w:fill="FFFFFF"/>
        </w:rPr>
        <w:t xml:space="preserve"> while for non-profit or </w:t>
      </w:r>
      <w:proofErr w:type="spellStart"/>
      <w:r w:rsidRPr="009365A3">
        <w:rPr>
          <w:rFonts w:ascii="Garamond" w:hAnsi="Garamond" w:cs="Times New Roman"/>
          <w:i/>
          <w:color w:val="111111"/>
          <w:sz w:val="24"/>
          <w:szCs w:val="24"/>
          <w:shd w:val="clear" w:color="auto" w:fill="FFFFFF"/>
        </w:rPr>
        <w:t>tabarru</w:t>
      </w:r>
      <w:proofErr w:type="spellEnd"/>
      <w:r w:rsidRPr="009365A3">
        <w:rPr>
          <w:rFonts w:ascii="Garamond" w:hAnsi="Garamond" w:cs="Times New Roman"/>
          <w:i/>
          <w:color w:val="111111"/>
          <w:sz w:val="24"/>
          <w:szCs w:val="24"/>
          <w:shd w:val="clear" w:color="auto" w:fill="FFFFFF"/>
        </w:rPr>
        <w:t xml:space="preserve"> </w:t>
      </w:r>
      <w:r w:rsidRPr="003B7CB5">
        <w:rPr>
          <w:rFonts w:ascii="Garamond" w:hAnsi="Garamond" w:cs="Times New Roman"/>
          <w:color w:val="111111"/>
          <w:sz w:val="24"/>
          <w:szCs w:val="24"/>
          <w:shd w:val="clear" w:color="auto" w:fill="FFFFFF"/>
        </w:rPr>
        <w:t xml:space="preserve">using </w:t>
      </w:r>
      <w:r w:rsidRPr="009365A3">
        <w:rPr>
          <w:rFonts w:ascii="Garamond" w:hAnsi="Garamond" w:cs="Times New Roman"/>
          <w:i/>
          <w:color w:val="111111"/>
          <w:sz w:val="24"/>
          <w:szCs w:val="24"/>
          <w:shd w:val="clear" w:color="auto" w:fill="FFFFFF"/>
        </w:rPr>
        <w:t xml:space="preserve">zakat, </w:t>
      </w:r>
      <w:proofErr w:type="spellStart"/>
      <w:r w:rsidRPr="009365A3">
        <w:rPr>
          <w:rFonts w:ascii="Garamond" w:hAnsi="Garamond" w:cs="Times New Roman"/>
          <w:i/>
          <w:color w:val="111111"/>
          <w:sz w:val="24"/>
          <w:szCs w:val="24"/>
          <w:shd w:val="clear" w:color="auto" w:fill="FFFFFF"/>
        </w:rPr>
        <w:t>sodaqoh</w:t>
      </w:r>
      <w:proofErr w:type="spellEnd"/>
      <w:r w:rsidRPr="009365A3">
        <w:rPr>
          <w:rFonts w:ascii="Garamond" w:hAnsi="Garamond" w:cs="Times New Roman"/>
          <w:i/>
          <w:color w:val="111111"/>
          <w:sz w:val="24"/>
          <w:szCs w:val="24"/>
          <w:shd w:val="clear" w:color="auto" w:fill="FFFFFF"/>
        </w:rPr>
        <w:t xml:space="preserve">, infak, </w:t>
      </w:r>
      <w:proofErr w:type="spellStart"/>
      <w:r w:rsidRPr="009365A3">
        <w:rPr>
          <w:rFonts w:ascii="Garamond" w:hAnsi="Garamond" w:cs="Times New Roman"/>
          <w:i/>
          <w:color w:val="111111"/>
          <w:sz w:val="24"/>
          <w:szCs w:val="24"/>
          <w:shd w:val="clear" w:color="auto" w:fill="FFFFFF"/>
        </w:rPr>
        <w:t>waqf</w:t>
      </w:r>
      <w:proofErr w:type="spellEnd"/>
      <w:r w:rsidRPr="003B7CB5">
        <w:rPr>
          <w:rFonts w:ascii="Garamond" w:hAnsi="Garamond" w:cs="Times New Roman"/>
          <w:color w:val="111111"/>
          <w:sz w:val="24"/>
          <w:szCs w:val="24"/>
          <w:shd w:val="clear" w:color="auto" w:fill="FFFFFF"/>
        </w:rPr>
        <w:t xml:space="preserve"> and </w:t>
      </w:r>
      <w:proofErr w:type="spellStart"/>
      <w:r w:rsidRPr="009365A3">
        <w:rPr>
          <w:rFonts w:ascii="Garamond" w:hAnsi="Garamond" w:cs="Times New Roman"/>
          <w:i/>
          <w:color w:val="111111"/>
          <w:sz w:val="24"/>
          <w:szCs w:val="24"/>
          <w:shd w:val="clear" w:color="auto" w:fill="FFFFFF"/>
        </w:rPr>
        <w:t>qordul</w:t>
      </w:r>
      <w:proofErr w:type="spellEnd"/>
      <w:r w:rsidRPr="009365A3">
        <w:rPr>
          <w:rFonts w:ascii="Garamond" w:hAnsi="Garamond" w:cs="Times New Roman"/>
          <w:i/>
          <w:color w:val="111111"/>
          <w:sz w:val="24"/>
          <w:szCs w:val="24"/>
          <w:shd w:val="clear" w:color="auto" w:fill="FFFFFF"/>
        </w:rPr>
        <w:t xml:space="preserve"> hasan</w:t>
      </w:r>
      <w:r w:rsidRPr="003B7CB5">
        <w:rPr>
          <w:rFonts w:ascii="Garamond" w:hAnsi="Garamond" w:cs="Times New Roman"/>
          <w:color w:val="111111"/>
          <w:sz w:val="24"/>
          <w:szCs w:val="24"/>
          <w:shd w:val="clear" w:color="auto" w:fill="FFFFFF"/>
        </w:rPr>
        <w:t xml:space="preserve"> contracts</w:t>
      </w:r>
      <w:r w:rsidR="006C0DEF">
        <w:rPr>
          <w:rFonts w:ascii="Garamond" w:hAnsi="Garamond" w:cs="Times New Roman"/>
          <w:color w:val="111111"/>
          <w:sz w:val="24"/>
          <w:szCs w:val="24"/>
          <w:shd w:val="clear" w:color="auto" w:fill="FFFFFF"/>
          <w:lang w:val="id-ID"/>
        </w:rPr>
        <w:t>.■</w:t>
      </w:r>
    </w:p>
    <w:p w:rsidR="000E0E96" w:rsidRPr="009365A3" w:rsidRDefault="009365A3" w:rsidP="003B7CB5">
      <w:pPr>
        <w:pStyle w:val="NoSpacing"/>
        <w:spacing w:after="120"/>
        <w:ind w:left="0"/>
        <w:jc w:val="both"/>
        <w:rPr>
          <w:rFonts w:ascii="Garamond" w:hAnsi="Garamond"/>
          <w:b/>
          <w:color w:val="000000"/>
          <w:sz w:val="24"/>
          <w:szCs w:val="24"/>
        </w:rPr>
      </w:pPr>
      <w:r w:rsidRPr="009365A3">
        <w:rPr>
          <w:rFonts w:ascii="Garamond" w:hAnsi="Garamond"/>
          <w:b/>
          <w:color w:val="000000"/>
          <w:sz w:val="24"/>
          <w:szCs w:val="24"/>
        </w:rPr>
        <w:t xml:space="preserve">REFERENCES </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color w:val="000000"/>
        </w:rPr>
        <w:fldChar w:fldCharType="begin" w:fldLock="1"/>
      </w:r>
      <w:r w:rsidRPr="009365A3">
        <w:rPr>
          <w:rFonts w:ascii="Garamond" w:hAnsi="Garamond"/>
          <w:color w:val="000000"/>
        </w:rPr>
        <w:instrText xml:space="preserve">ADDIN Mendeley Bibliography CSL_BIBLIOGRAPHY </w:instrText>
      </w:r>
      <w:r w:rsidRPr="009365A3">
        <w:rPr>
          <w:rFonts w:ascii="Garamond" w:hAnsi="Garamond"/>
          <w:color w:val="000000"/>
        </w:rPr>
        <w:fldChar w:fldCharType="separate"/>
      </w:r>
      <w:r w:rsidRPr="009365A3">
        <w:rPr>
          <w:rFonts w:ascii="Garamond" w:hAnsi="Garamond"/>
          <w:noProof/>
        </w:rPr>
        <w:t>( POJK) No 11/POJK.03/2020. “Peraturan Otoritas Jasa Keuangan ( POJK) No 11/POJK.03/2020, Tentang Restukturisasi Keuangan Saat Pandemi.” www.ojk.go.id,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(PBI) Peraturan Bank Indonesia No 10/18/PBI/. “Peraturan Bank Indonesia No 10/18/PBI/ 2008 Tentang Restukturisasi Pembiayaan.” www. bi.go.id., 2008.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04/DSN-MUI/IV/2000. “Fatwa No 4/DSN-MUI/IV/2000.” dsn.go.id, 2020. © 2020 Dewan Syariah Nasional - Majelis Ulama Indonesia.</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47/DSN-MUI/II/2005, Fatwa. “Fatwa No 47/DSN -MUI/II/2005 Tentang Penyelesaian Pembiayaan Murabahah Bagi Nasabah Yang Tidak Mampu.” dsnmui.or.id, 2005.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48/DSN-MUI/II/2005. “Fatwa No 48/DSN-MUI/II/2005 Tentang Penjadwalan Kembali Tagihan Murabahah.” dsnmui.or.id, 2005.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 Soenarjo, Dkk. </w:t>
      </w:r>
      <w:r w:rsidRPr="009365A3">
        <w:rPr>
          <w:rFonts w:ascii="Garamond" w:hAnsi="Garamond"/>
          <w:i/>
          <w:iCs/>
          <w:noProof/>
        </w:rPr>
        <w:t>Al-Qur’an Dan Terjemahnya</w:t>
      </w:r>
      <w:r w:rsidRPr="009365A3">
        <w:rPr>
          <w:rFonts w:ascii="Garamond" w:hAnsi="Garamond"/>
          <w:noProof/>
        </w:rPr>
        <w:t>. Jakarta: Depertemen Agama RI, 2005.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Abdullah, Mohammad. “Analysing the Moral Aspect of Qard: A Shariah Perspective.” </w:t>
      </w:r>
      <w:r w:rsidRPr="009365A3">
        <w:rPr>
          <w:rFonts w:ascii="Garamond" w:hAnsi="Garamond"/>
          <w:i/>
          <w:iCs/>
          <w:noProof/>
        </w:rPr>
        <w:t>International Journal of Islamic and Middle Eastern Finance and Management</w:t>
      </w:r>
      <w:r w:rsidRPr="009365A3">
        <w:rPr>
          <w:rFonts w:ascii="Garamond" w:hAnsi="Garamond"/>
          <w:noProof/>
        </w:rPr>
        <w:t>, 2015.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Abu Zahra, Muhamad. </w:t>
      </w:r>
      <w:r w:rsidRPr="009365A3">
        <w:rPr>
          <w:rFonts w:ascii="Garamond" w:hAnsi="Garamond"/>
          <w:i/>
          <w:iCs/>
          <w:noProof/>
        </w:rPr>
        <w:t>Ushul Fikih (Terjemah)</w:t>
      </w:r>
      <w:r w:rsidRPr="009365A3">
        <w:rPr>
          <w:rFonts w:ascii="Garamond" w:hAnsi="Garamond"/>
          <w:noProof/>
        </w:rPr>
        <w:t>. Cet 3. Jakarta: PT.Pustaka Pirdaus, 1994.</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Adawiyah, Endah Robiatul. “Kolaborasi Lembaga Keuangan, Pemerintah Dan Perusahaan Dalam Meningkatkan Peran Koperasi Karyawan Industri Sebagai Alternatif Solusi Dalam Pembangunan Sektor Ekonomi Indonesia.” </w:t>
      </w:r>
      <w:r w:rsidRPr="009365A3">
        <w:rPr>
          <w:rFonts w:ascii="Garamond" w:hAnsi="Garamond"/>
          <w:i/>
          <w:iCs/>
          <w:noProof/>
        </w:rPr>
        <w:t>PROFIT: Jurnal Kajian Ekonomi Dan Perbankan Syariah</w:t>
      </w:r>
      <w:r w:rsidRPr="009365A3">
        <w:rPr>
          <w:rFonts w:ascii="Garamond" w:hAnsi="Garamond"/>
          <w:noProof/>
        </w:rPr>
        <w:t xml:space="preserve"> 4, no. 1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 “Konsep Dasar Pembiayaan Dalam Bisnis.” In </w:t>
      </w:r>
      <w:r w:rsidRPr="009365A3">
        <w:rPr>
          <w:rFonts w:ascii="Garamond" w:hAnsi="Garamond"/>
          <w:i/>
          <w:iCs/>
          <w:noProof/>
        </w:rPr>
        <w:t>Manajemen Bisnis Kontemporer: Prinsip Dasar Dan Aplikasi</w:t>
      </w:r>
      <w:r w:rsidRPr="009365A3">
        <w:rPr>
          <w:rFonts w:ascii="Garamond" w:hAnsi="Garamond"/>
          <w:noProof/>
        </w:rPr>
        <w:t>, edited by GCaido, 1st ed., 59–68. Yogyakarta: Diandra Kreatif/Mirra Buana Media, 2020. file:///C:/Users/asus/Desktop/Documents/izasah ku/buku-buku/eChapter_Endah Robiatul Adawiyah.pdf.</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lastRenderedPageBreak/>
        <w:t>Agus Saur Utomo, Novita Kusuma Maharani, Danes Quirira Octavio. “Financial Determinants Of Qardhul Hasan Financing Growth: Evidence From Islamic Banks In Indonesia” 3, no. 1 (2015): 38–45. https://doi.org/https://doi.org/10.14421/grieb.2015.031-03.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Anggraini, Rina. “Kebijakan Moneter Sebagai Upaya Penyelamatan Perekonomian Ditengah Pandemi Corona Virus Disease-19” 1, no. November (2020): 80–97.</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Antonio, Muhammad Syaafi’i. </w:t>
      </w:r>
      <w:r w:rsidRPr="009365A3">
        <w:rPr>
          <w:rFonts w:ascii="Garamond" w:hAnsi="Garamond"/>
          <w:i/>
          <w:iCs/>
          <w:noProof/>
        </w:rPr>
        <w:t>Bank Syari’ah: Dari Teori Ke Praktik</w:t>
      </w:r>
      <w:r w:rsidRPr="009365A3">
        <w:rPr>
          <w:rFonts w:ascii="Garamond" w:hAnsi="Garamond"/>
          <w:noProof/>
        </w:rPr>
        <w:t>. Jakarta: Gema Insani, 2001.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Asy-Syatibi. </w:t>
      </w:r>
      <w:r w:rsidRPr="009365A3">
        <w:rPr>
          <w:rFonts w:ascii="Garamond" w:hAnsi="Garamond"/>
          <w:i/>
          <w:iCs/>
          <w:noProof/>
        </w:rPr>
        <w:t>Al-Muafaqad Fi Ushul Al-Syari</w:t>
      </w:r>
      <w:r w:rsidRPr="009365A3">
        <w:rPr>
          <w:i/>
          <w:iCs/>
          <w:noProof/>
        </w:rPr>
        <w:t>‟</w:t>
      </w:r>
      <w:r w:rsidRPr="009365A3">
        <w:rPr>
          <w:rFonts w:ascii="Garamond" w:hAnsi="Garamond"/>
          <w:i/>
          <w:iCs/>
          <w:noProof/>
        </w:rPr>
        <w:t>ah,</w:t>
      </w:r>
      <w:r w:rsidRPr="009365A3">
        <w:rPr>
          <w:rFonts w:ascii="Garamond" w:hAnsi="Garamond"/>
          <w:noProof/>
        </w:rPr>
        <w:t>. Jilid 2. Kairo: Mustafa Muhammad, n.d.</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Avisena, M. Ilham Ramadhan. “Pertumbuhan-Ekonomi-Saat-Ini-Terendah-Sejak-Krisis-Moneter.” </w:t>
      </w:r>
      <w:r w:rsidRPr="009365A3">
        <w:rPr>
          <w:rFonts w:ascii="Garamond" w:hAnsi="Garamond"/>
          <w:i/>
          <w:iCs/>
          <w:noProof/>
        </w:rPr>
        <w:t>M. Ilham Ramadhan Avisena Mediaindonesia.Com</w:t>
      </w:r>
      <w:r w:rsidRPr="009365A3">
        <w:rPr>
          <w:rFonts w:ascii="Garamond" w:hAnsi="Garamond"/>
          <w:noProof/>
        </w:rPr>
        <w:t>.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Benamraoui, A. “The World Economy and Islamic Economics in the Time of COVID-19.” </w:t>
      </w:r>
      <w:r w:rsidRPr="009365A3">
        <w:rPr>
          <w:rFonts w:ascii="Garamond" w:hAnsi="Garamond"/>
          <w:i/>
          <w:iCs/>
          <w:noProof/>
        </w:rPr>
        <w:t>Journal of King Abdulaziz University: Islamic Economics</w:t>
      </w:r>
      <w:r w:rsidRPr="009365A3">
        <w:rPr>
          <w:rFonts w:ascii="Garamond" w:hAnsi="Garamond"/>
          <w:noProof/>
        </w:rPr>
        <w:t xml:space="preserve"> 34, no. 1 (2021): 67–78.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BI. “Peraturan Bank Indonesia ( PBI), No 13/23/PBI/2011.” www. bi.go.id., 2011. www.bi.go.id.</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Dakwahstudio. “Hadis Ke 32 Larangan Membahayakan Diri Dan Orang Lain.” https://haditsarbain.com/hadits/larangan-membahayakan-diri-dan-orang-lain/, 1421.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Dewantara, Aditama, and Anton Bawono. “Influence Analisys Of Mudharabah, Musharakah, And Murabahah Financing To Profitability Of Sharia Commercial Bank In Indonesia 2016-2019 With Non Performing Financing As Intervening Variable.” </w:t>
      </w:r>
      <w:r w:rsidRPr="009365A3">
        <w:rPr>
          <w:rFonts w:ascii="Garamond" w:hAnsi="Garamond"/>
          <w:i/>
          <w:iCs/>
          <w:noProof/>
        </w:rPr>
        <w:t>Islamiconomic: Jurnal Ekonomi Islam</w:t>
      </w:r>
      <w:r w:rsidRPr="009365A3">
        <w:rPr>
          <w:rFonts w:ascii="Garamond" w:hAnsi="Garamond"/>
          <w:noProof/>
        </w:rPr>
        <w:t xml:space="preserve"> 11, no. 2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Djazuli.I, Nurol Aen. </w:t>
      </w:r>
      <w:r w:rsidRPr="009365A3">
        <w:rPr>
          <w:rFonts w:ascii="Garamond" w:hAnsi="Garamond"/>
          <w:i/>
          <w:iCs/>
          <w:noProof/>
        </w:rPr>
        <w:t>Ushul Fiqh; Metodologi Hukum Islam</w:t>
      </w:r>
      <w:r w:rsidRPr="009365A3">
        <w:rPr>
          <w:rFonts w:ascii="Garamond" w:hAnsi="Garamond"/>
          <w:noProof/>
        </w:rPr>
        <w:t>. Pertama. Jakarta: PT. Raja Grafindo Persada, 2000.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Djazuli, H A. </w:t>
      </w:r>
      <w:r w:rsidRPr="009365A3">
        <w:rPr>
          <w:rFonts w:ascii="Garamond" w:hAnsi="Garamond"/>
          <w:i/>
          <w:iCs/>
          <w:noProof/>
        </w:rPr>
        <w:t>Ilmu Fiqh: Penggalian, Perkembangan, Dan Penerapan Hukum Islam. Edisi Revisi</w:t>
      </w:r>
      <w:r w:rsidRPr="009365A3">
        <w:rPr>
          <w:rFonts w:ascii="Garamond" w:hAnsi="Garamond"/>
          <w:noProof/>
        </w:rPr>
        <w:t>. Prenada Media, 2021.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 </w:t>
      </w:r>
      <w:r w:rsidRPr="009365A3">
        <w:rPr>
          <w:rFonts w:ascii="Garamond" w:hAnsi="Garamond"/>
          <w:i/>
          <w:iCs/>
          <w:noProof/>
        </w:rPr>
        <w:t>Kaidah-Kaidah Fikih</w:t>
      </w:r>
      <w:r w:rsidRPr="009365A3">
        <w:rPr>
          <w:rFonts w:ascii="Garamond" w:hAnsi="Garamond"/>
          <w:noProof/>
        </w:rPr>
        <w:t>. Jakarta: Prenada Media Grup, 2019.</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DSN-MUI. “Fatwa No 46/DSN-MUI/II/2005 Tentang Potongan Tagihan Murabahah.” dsnmui.or.id. jakarta: DSN-MUI, 2005. https://dsnmui.or.id.</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lastRenderedPageBreak/>
        <w:t>Dubey, Pushakar, and Kailash Kumar Sahu. “MSMEs in COVID-19 Crisis and India ’ s Economic Relief Package</w:t>
      </w:r>
      <w:r w:rsidRPr="009365A3">
        <w:rPr>
          <w:noProof/>
        </w:rPr>
        <w:t> </w:t>
      </w:r>
      <w:r w:rsidRPr="009365A3">
        <w:rPr>
          <w:rFonts w:ascii="Garamond" w:hAnsi="Garamond"/>
          <w:noProof/>
        </w:rPr>
        <w:t>: A Critical Review,” no. August (2020): 1–5.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Fernandes, Nuno. “Economic Effects of Coronavirus Outbreak ( COVID-19 ) on the World Economy.” </w:t>
      </w:r>
      <w:r w:rsidRPr="009365A3">
        <w:rPr>
          <w:rFonts w:ascii="Garamond" w:hAnsi="Garamond"/>
          <w:i/>
          <w:iCs/>
          <w:noProof/>
        </w:rPr>
        <w:t>Full Professor of Finance IESE Business School Spain</w:t>
      </w:r>
      <w:r w:rsidRPr="009365A3">
        <w:rPr>
          <w:rFonts w:ascii="Garamond" w:hAnsi="Garamond"/>
          <w:noProof/>
        </w:rPr>
        <w:t>, 2020, 0–29.</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Hanafi, Syafiq M. “Financial Risk Management In Syariah Contracts</w:t>
      </w:r>
      <w:r w:rsidRPr="009365A3">
        <w:rPr>
          <w:noProof/>
        </w:rPr>
        <w:t> </w:t>
      </w:r>
      <w:r w:rsidRPr="009365A3">
        <w:rPr>
          <w:rFonts w:ascii="Garamond" w:hAnsi="Garamond"/>
          <w:noProof/>
        </w:rPr>
        <w:t>: A Review of Current Literature” XXXVII, no. 1 (2013): 46–60.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Hukum-hukum, Kitab. “Hadis Ibnu Majah No 2421,” n.d. https://www.hadits.id/hadits/majah/2421.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Indonesia, OJK. “Statistik Perbankan Syari’ah,” 1–103. Departemen perijinjan dan informasi Perbankan,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Jan, Amin, Mário Nuno Mata, Pia A Albinsson, José Moleiro Martins, Rusni Bt Hassan, and Pedro Neves Mata. “Alignment of Islamic Banking Sustainability Indicators with Sustainable Development Goals: Policy Recommendations for Addressing the COVID-19 Pandemic.” </w:t>
      </w:r>
      <w:r w:rsidRPr="009365A3">
        <w:rPr>
          <w:rFonts w:ascii="Garamond" w:hAnsi="Garamond"/>
          <w:i/>
          <w:iCs/>
          <w:noProof/>
        </w:rPr>
        <w:t>Sustainability</w:t>
      </w:r>
      <w:r w:rsidRPr="009365A3">
        <w:rPr>
          <w:rFonts w:ascii="Garamond" w:hAnsi="Garamond"/>
          <w:noProof/>
        </w:rPr>
        <w:t xml:space="preserve"> 13, no. 5 (2021): 2607.</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Janwari, Yadi. </w:t>
      </w:r>
      <w:r w:rsidRPr="009365A3">
        <w:rPr>
          <w:rFonts w:ascii="Garamond" w:hAnsi="Garamond"/>
          <w:i/>
          <w:iCs/>
          <w:noProof/>
        </w:rPr>
        <w:t>Pemikiran Ekonomi Islam: Dari Masa Rasulullah Hingga Masa Kontemporer</w:t>
      </w:r>
      <w:r w:rsidRPr="009365A3">
        <w:rPr>
          <w:rFonts w:ascii="Garamond" w:hAnsi="Garamond"/>
          <w:noProof/>
        </w:rPr>
        <w:t xml:space="preserve">. </w:t>
      </w:r>
      <w:r w:rsidRPr="009365A3">
        <w:rPr>
          <w:rFonts w:ascii="Garamond" w:hAnsi="Garamond"/>
          <w:i/>
          <w:iCs/>
          <w:noProof/>
        </w:rPr>
        <w:t>Bandung: PT Remaja Rosda Karya</w:t>
      </w:r>
      <w:r w:rsidRPr="009365A3">
        <w:rPr>
          <w:rFonts w:ascii="Garamond" w:hAnsi="Garamond"/>
          <w:noProof/>
        </w:rPr>
        <w:t>. 1st ed. Bandung: PT. Remaja Rosdakarya, 2016.</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Junjunan, Mochammad Ilyas, Ajeng Tita Nawangsari, Arta Agustin Melania, and Agus Purnomo Ahmad Putikadyanto. “A Comparative Study on Financial Performance between Islamic and Conventional Banking in Indonesia During the COVID-19 Pandemic.” </w:t>
      </w:r>
      <w:r w:rsidRPr="009365A3">
        <w:rPr>
          <w:rFonts w:ascii="Garamond" w:hAnsi="Garamond"/>
          <w:i/>
          <w:iCs/>
          <w:noProof/>
        </w:rPr>
        <w:t>Muqtasid: Jurnal Ekonomi Dan Perbankan Syariah</w:t>
      </w:r>
      <w:r w:rsidRPr="009365A3">
        <w:rPr>
          <w:rFonts w:ascii="Garamond" w:hAnsi="Garamond"/>
          <w:noProof/>
        </w:rPr>
        <w:t xml:space="preserve"> 12, no. 2 (2021): 75–88.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Kahf, Monzer. “Maqasid Al Shari ’ Ah in the Prohibition of Riba and Their Implications for Modern Islamic Finance.” </w:t>
      </w:r>
      <w:r w:rsidRPr="009365A3">
        <w:rPr>
          <w:rFonts w:ascii="Garamond" w:hAnsi="Garamond"/>
          <w:i/>
          <w:iCs/>
          <w:noProof/>
        </w:rPr>
        <w:t>IIUM International Conference on Maqasid Al Shari’ah</w:t>
      </w:r>
      <w:r w:rsidRPr="009365A3">
        <w:rPr>
          <w:rFonts w:ascii="Garamond" w:hAnsi="Garamond"/>
          <w:noProof/>
        </w:rPr>
        <w:t>, 2006, 184–203.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Kholiq, Abdul, and Rizqi Rahmawati. “Dampak Implementasi Restrukturisasi Pembiayaan Terhadap Likuiditas Bank Syariah Pada Situasi Pandemi Covid-19.” </w:t>
      </w:r>
      <w:r w:rsidRPr="009365A3">
        <w:rPr>
          <w:rFonts w:ascii="Garamond" w:hAnsi="Garamond"/>
          <w:i/>
          <w:iCs/>
          <w:noProof/>
        </w:rPr>
        <w:t>El-Barka: Journal of Islamic Economics and Business</w:t>
      </w:r>
      <w:r w:rsidRPr="009365A3">
        <w:rPr>
          <w:rFonts w:ascii="Garamond" w:hAnsi="Garamond"/>
          <w:noProof/>
        </w:rPr>
        <w:t xml:space="preserve"> 3, no. 2 (2020): 282–316.</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Matenga, Gerard McCann and Chrispin. “COVID-19 in the Global South.” In </w:t>
      </w:r>
      <w:r w:rsidRPr="009365A3">
        <w:rPr>
          <w:rFonts w:ascii="Garamond" w:hAnsi="Garamond"/>
          <w:i/>
          <w:iCs/>
          <w:noProof/>
        </w:rPr>
        <w:t>COVID-19 and Global Inequality</w:t>
      </w:r>
      <w:r w:rsidRPr="009365A3">
        <w:rPr>
          <w:rFonts w:ascii="Garamond" w:hAnsi="Garamond"/>
          <w:noProof/>
        </w:rPr>
        <w:t>, 15. Bristol University Press, 2020.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Miftahudin, Husen. “72,6% Pelaku UMKM Terdampak Pandemi.” jakarta, n.d.</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lastRenderedPageBreak/>
        <w:t xml:space="preserve">Moleong, D. M. A. Lexy J. </w:t>
      </w:r>
      <w:r w:rsidRPr="009365A3">
        <w:rPr>
          <w:rFonts w:ascii="Garamond" w:hAnsi="Garamond"/>
          <w:i/>
          <w:iCs/>
          <w:noProof/>
        </w:rPr>
        <w:t>Metodologi Penelitian Kualitatif</w:t>
      </w:r>
      <w:r w:rsidRPr="009365A3">
        <w:rPr>
          <w:rFonts w:ascii="Garamond" w:hAnsi="Garamond"/>
          <w:noProof/>
        </w:rPr>
        <w:t>. 38th ed. Bandung: PT. Rosda Karya, 2018.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Monitor, I L O. . “. Current Situation: Why Are Labour Markets Important?,” no. March (2020): 1–15. https://gisanddata.maps.arcgis.com/apps/opsdashboard/index.html#/bda7594740fd40299423467b48e9ecf6.CEPR.https://voxeu.org/content/economics-time-covid-193SeeforexampleUNCTAD,https://unctad.org/en/pages/PressRelease.aspx?OriginalVersionID=548.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Mubarok, Jaih, and Hasanudin. “Pengurusan Dana Haji Dan Status Dana Calon Haji Daftar Tunggu.” </w:t>
      </w:r>
      <w:r w:rsidRPr="009365A3">
        <w:rPr>
          <w:rFonts w:ascii="Garamond" w:hAnsi="Garamond"/>
          <w:i/>
          <w:iCs/>
          <w:noProof/>
        </w:rPr>
        <w:t>Al-Iqtishad: Jurnal Ilmu Ekonomi Syariah (Journal of Islamic Economics)</w:t>
      </w:r>
      <w:r w:rsidRPr="009365A3">
        <w:rPr>
          <w:rFonts w:ascii="Garamond" w:hAnsi="Garamond"/>
          <w:noProof/>
        </w:rPr>
        <w:t xml:space="preserve"> 5, no. 1 (2013).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Muhammad. </w:t>
      </w:r>
      <w:r w:rsidRPr="009365A3">
        <w:rPr>
          <w:rFonts w:ascii="Garamond" w:hAnsi="Garamond"/>
          <w:i/>
          <w:iCs/>
          <w:noProof/>
        </w:rPr>
        <w:t>Tehnik Perhitungan Bagi Hasil Di Bank Syariah</w:t>
      </w:r>
      <w:r w:rsidRPr="009365A3">
        <w:rPr>
          <w:rFonts w:ascii="Garamond" w:hAnsi="Garamond"/>
          <w:noProof/>
        </w:rPr>
        <w:t>. Jogyakarta: UII Press, 2000.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Munawwaroh, Mujammma’almaalik fadh li thiba al-mushaf asy-syarif medinah. “Al-Qur’an Dan Terjemah.” </w:t>
      </w:r>
      <w:r w:rsidRPr="009365A3">
        <w:rPr>
          <w:rFonts w:ascii="Garamond" w:hAnsi="Garamond"/>
          <w:i/>
          <w:iCs/>
          <w:noProof/>
        </w:rPr>
        <w:t>Al-Qur’an Dan Terjemahnya</w:t>
      </w:r>
      <w:r w:rsidRPr="009365A3">
        <w:rPr>
          <w:rFonts w:ascii="Garamond" w:hAnsi="Garamond"/>
          <w:noProof/>
        </w:rPr>
        <w:t>. Jakarta: Yayasan penyelenggara penterjemah Al-qur’an, 1990.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Nawawi, Al-imam Yahya bin Syarifuddin. </w:t>
      </w:r>
      <w:r w:rsidRPr="009365A3">
        <w:rPr>
          <w:rFonts w:ascii="Garamond" w:hAnsi="Garamond"/>
          <w:i/>
          <w:iCs/>
          <w:noProof/>
        </w:rPr>
        <w:t>Matan ’arbain Nawawiyah:Fi Al-Hadist Shahih Nabawiyah</w:t>
      </w:r>
      <w:r w:rsidRPr="009365A3">
        <w:rPr>
          <w:rFonts w:ascii="Garamond" w:hAnsi="Garamond"/>
          <w:noProof/>
        </w:rPr>
        <w:t>. Indonesya: Syarikat maktabah Madaniyyah, 272AD.</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Ni Wayan Suarmini, Siti Zahrok, Dyah Satya Yoga Agustin. “Peluang Dan Tantangan Peran Perempuan.” </w:t>
      </w:r>
      <w:r w:rsidRPr="009365A3">
        <w:rPr>
          <w:rFonts w:ascii="Garamond" w:hAnsi="Garamond"/>
          <w:i/>
          <w:iCs/>
          <w:noProof/>
        </w:rPr>
        <w:t>Prosiding SEMATEKSOS 3 “Strategi Pembangunan Nasional Menghadapi Revolusi Industri 4.0,”</w:t>
      </w:r>
      <w:r w:rsidRPr="009365A3">
        <w:rPr>
          <w:rFonts w:ascii="Garamond" w:hAnsi="Garamond"/>
          <w:noProof/>
        </w:rPr>
        <w:t xml:space="preserve"> 2018, 48–53.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Ningsih, Mardhiyatur Rosita, and Muhammad Syarqim Mahfudz. “Dampak Pandemi Covid-19 Terhadap Manajemen Industri Perbankan Syariah: Analisis Komparatif.” </w:t>
      </w:r>
      <w:r w:rsidRPr="009365A3">
        <w:rPr>
          <w:rFonts w:ascii="Garamond" w:hAnsi="Garamond"/>
          <w:i/>
          <w:iCs/>
          <w:noProof/>
        </w:rPr>
        <w:t>Point</w:t>
      </w:r>
      <w:r w:rsidRPr="009365A3">
        <w:rPr>
          <w:rFonts w:ascii="Garamond" w:hAnsi="Garamond"/>
          <w:noProof/>
        </w:rPr>
        <w:t xml:space="preserve"> 2, no. 1 (2020): 1–10. https://doi.org/10.46918/point.v2i1.576.</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Putra, Rosyid Nur Anggara. “Karakteristik Pembiayaan Dan Non Performing Finance Perbankan Syariah 2015–2018.” </w:t>
      </w:r>
      <w:r w:rsidRPr="009365A3">
        <w:rPr>
          <w:rFonts w:ascii="Garamond" w:hAnsi="Garamond"/>
          <w:i/>
          <w:iCs/>
          <w:noProof/>
        </w:rPr>
        <w:t>MALIA: Journal of Islamic Banking and Finance</w:t>
      </w:r>
      <w:r w:rsidRPr="009365A3">
        <w:rPr>
          <w:rFonts w:ascii="Garamond" w:hAnsi="Garamond"/>
          <w:noProof/>
        </w:rPr>
        <w:t xml:space="preserve"> 3, no. 1 (2019): 1–16.</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Qoyum, Abdul. “Maqasid Ash-Shari</w:t>
      </w:r>
      <w:r w:rsidRPr="009365A3">
        <w:rPr>
          <w:noProof/>
        </w:rPr>
        <w:t>ʻ</w:t>
      </w:r>
      <w:r w:rsidRPr="009365A3">
        <w:rPr>
          <w:rFonts w:ascii="Garamond" w:hAnsi="Garamond"/>
          <w:noProof/>
        </w:rPr>
        <w:t xml:space="preserve">ah Framework and the Development of Islamic Finance Products: The Case of Indonesia.” </w:t>
      </w:r>
      <w:r w:rsidRPr="009365A3">
        <w:rPr>
          <w:rFonts w:ascii="Garamond" w:hAnsi="Garamond"/>
          <w:i/>
          <w:iCs/>
          <w:noProof/>
        </w:rPr>
        <w:t>Tazkia Islamic Finance and Business Review</w:t>
      </w:r>
      <w:r w:rsidRPr="009365A3">
        <w:rPr>
          <w:rFonts w:ascii="Garamond" w:hAnsi="Garamond"/>
          <w:noProof/>
        </w:rPr>
        <w:t xml:space="preserve"> 12, no. 2 (2018).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Redaksi oneline.com, Hukum. “Undang-Undang Dasar 1945.” hukum Oneline.com, 2021. https://www.hukumonline.com/pusatdata/detail/lt4ca2eb6dd2834/undang-undang-dasar-1945?r=3&amp;p=1&amp;q=uud 1945&amp;rs=1847&amp;re=2021.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lastRenderedPageBreak/>
        <w:t xml:space="preserve">Ropei, Ahmad. “Formulasi Hukum Perlindungan Hak Kekayaan Intelektual Dalam Kerangka Maqoshid As-Syari’ah.” </w:t>
      </w:r>
      <w:r w:rsidRPr="009365A3">
        <w:rPr>
          <w:rFonts w:ascii="Garamond" w:hAnsi="Garamond"/>
          <w:i/>
          <w:iCs/>
          <w:noProof/>
        </w:rPr>
        <w:t>Jurnal Hukum Ekonomi Syariah</w:t>
      </w:r>
      <w:r w:rsidRPr="009365A3">
        <w:rPr>
          <w:rFonts w:ascii="Garamond" w:hAnsi="Garamond"/>
          <w:noProof/>
        </w:rPr>
        <w:t xml:space="preserve"> 4, no. 02 (2020): 165–79.</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RYANDONO, Muhamad Nafik Hadi, Muafi MUAFI, and Agung GURITNO. “Sharia Stock Reaction Against COVID-19 Pandemic: Evidence from Indonesian Capital Markets.” </w:t>
      </w:r>
      <w:r w:rsidRPr="009365A3">
        <w:rPr>
          <w:rFonts w:ascii="Garamond" w:hAnsi="Garamond"/>
          <w:i/>
          <w:iCs/>
          <w:noProof/>
        </w:rPr>
        <w:t>The Journal of Asian Finance, Economics, and Business</w:t>
      </w:r>
      <w:r w:rsidRPr="009365A3">
        <w:rPr>
          <w:rFonts w:ascii="Garamond" w:hAnsi="Garamond"/>
          <w:noProof/>
        </w:rPr>
        <w:t xml:space="preserve"> 8, no. 2 (2021): 697–710.</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Sanusi., Ahmad. </w:t>
      </w:r>
      <w:r w:rsidRPr="009365A3">
        <w:rPr>
          <w:rFonts w:ascii="Garamond" w:hAnsi="Garamond"/>
          <w:i/>
          <w:iCs/>
          <w:noProof/>
        </w:rPr>
        <w:t>Ushul Fiqih</w:t>
      </w:r>
      <w:r w:rsidRPr="009365A3">
        <w:rPr>
          <w:rFonts w:ascii="Garamond" w:hAnsi="Garamond"/>
          <w:noProof/>
        </w:rPr>
        <w:t>. Jakarta: Raja Grafindo Persada, 2015.</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Thaha, Abdurrahman Firdaus. “Dampak Covid-19 Terhadap UMKM Di Indonesia.” </w:t>
      </w:r>
      <w:r w:rsidRPr="009365A3">
        <w:rPr>
          <w:rFonts w:ascii="Garamond" w:hAnsi="Garamond"/>
          <w:i/>
          <w:iCs/>
          <w:noProof/>
        </w:rPr>
        <w:t>BRAND Jurnal Ilmiah Manajemen Pemasaran</w:t>
      </w:r>
      <w:r w:rsidRPr="009365A3">
        <w:rPr>
          <w:rFonts w:ascii="Garamond" w:hAnsi="Garamond"/>
          <w:noProof/>
        </w:rPr>
        <w:t xml:space="preserve"> 2, no. 1 (2020): 147–53.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Undang-Undang, R I. “Undang-Undang Nomor 13 Tahun 2008 Tentang Perbankan Syariah.” Jakarta (ID), 2008.</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Usanti, Trisadini Prasastinah. “Restrukturisasi Pembiayaan Sebagai Salah Satu Upaya Penanganan Pembiayaan Bermasalah.” </w:t>
      </w:r>
      <w:r w:rsidRPr="009365A3">
        <w:rPr>
          <w:rFonts w:ascii="Garamond" w:hAnsi="Garamond"/>
          <w:i/>
          <w:iCs/>
          <w:noProof/>
        </w:rPr>
        <w:t>Perspektif</w:t>
      </w:r>
      <w:r w:rsidRPr="009365A3">
        <w:rPr>
          <w:rFonts w:ascii="Garamond" w:hAnsi="Garamond"/>
          <w:noProof/>
        </w:rPr>
        <w:t xml:space="preserve"> 11, no. 3 (2006): 258–81.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Varshney, Deepak, Devesh Roy, J V Meenakshi, J V Meenakshi meena, and D Varshney. “Impact of COVID-19 on Agricultural Markets: Assessing the Roles of Commodity Characteristics, Disease Caseload and Market Reforms · Wholesale Prices and Trade · Market Reforms · Government Policy JEL Classification O13 · Q02 · Q18 · L78.” </w:t>
      </w:r>
      <w:r w:rsidRPr="009365A3">
        <w:rPr>
          <w:rFonts w:ascii="Garamond" w:hAnsi="Garamond"/>
          <w:i/>
          <w:iCs/>
          <w:noProof/>
        </w:rPr>
        <w:t>Indian Economic Review</w:t>
      </w:r>
      <w:r w:rsidRPr="009365A3">
        <w:rPr>
          <w:rFonts w:ascii="Garamond" w:hAnsi="Garamond"/>
          <w:noProof/>
        </w:rPr>
        <w:t>, 2020. https://doi.org/10.1007/s41775-020-00095-1.</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 xml:space="preserve">Wahyudi, Rofiul. “Analisis Pengaruh CAR, NPF, FDR, BOPO Dan Inflasi Terhadap Profitabilitas Perbankan Syariah Di Indonesia: Studi Masa Pandemi Covid-19.” </w:t>
      </w:r>
      <w:r w:rsidRPr="009365A3">
        <w:rPr>
          <w:rFonts w:ascii="Garamond" w:hAnsi="Garamond"/>
          <w:i/>
          <w:iCs/>
          <w:noProof/>
        </w:rPr>
        <w:t>At-Taqaddum</w:t>
      </w:r>
      <w:r w:rsidRPr="009365A3">
        <w:rPr>
          <w:rFonts w:ascii="Garamond" w:hAnsi="Garamond"/>
          <w:noProof/>
        </w:rPr>
        <w:t xml:space="preserve"> 12, no. 1 (2020): 13. https://doi.org/10.21580/at.v12i1.6093.</w:t>
      </w:r>
    </w:p>
    <w:p w:rsidR="000E0E96" w:rsidRPr="009365A3" w:rsidRDefault="000E0E96" w:rsidP="009365A3">
      <w:pPr>
        <w:widowControl w:val="0"/>
        <w:autoSpaceDE w:val="0"/>
        <w:autoSpaceDN w:val="0"/>
        <w:adjustRightInd w:val="0"/>
        <w:spacing w:after="120"/>
        <w:ind w:left="567" w:hanging="567"/>
        <w:jc w:val="both"/>
        <w:rPr>
          <w:rFonts w:ascii="Garamond" w:hAnsi="Garamond"/>
          <w:noProof/>
        </w:rPr>
      </w:pPr>
      <w:r w:rsidRPr="009365A3">
        <w:rPr>
          <w:rFonts w:ascii="Garamond" w:hAnsi="Garamond"/>
          <w:noProof/>
        </w:rPr>
        <w:t>Widyaningsih, Bekti. “Efektivitas Restrukturisasi Pembiayaan Akibat Peningkatan Npf (Non Performing Financing) Sebagai Upaya Menjaga Portofolio Neraca Laba Rugi Pada Bank Syariah Mandir Dan Bri Syariah Jombang.” IAIN Tulungagung, 2019.</w:t>
      </w:r>
    </w:p>
    <w:p w:rsidR="000E0E96" w:rsidRPr="00C365C5" w:rsidRDefault="000E0E96" w:rsidP="009365A3">
      <w:pPr>
        <w:pStyle w:val="Authors"/>
        <w:spacing w:after="120"/>
        <w:ind w:left="567" w:hanging="567"/>
        <w:jc w:val="both"/>
        <w:rPr>
          <w:rFonts w:ascii="Garamond" w:hAnsi="Garamond"/>
          <w:color w:val="000000"/>
          <w:sz w:val="24"/>
          <w:szCs w:val="24"/>
        </w:rPr>
      </w:pPr>
      <w:r w:rsidRPr="009365A3">
        <w:rPr>
          <w:rFonts w:ascii="Garamond" w:hAnsi="Garamond"/>
          <w:color w:val="000000"/>
          <w:sz w:val="24"/>
          <w:szCs w:val="24"/>
        </w:rPr>
        <w:fldChar w:fldCharType="end"/>
      </w:r>
      <w:bookmarkEnd w:id="0"/>
      <w:bookmarkEnd w:id="1"/>
    </w:p>
    <w:p w:rsidR="00AB4094" w:rsidRDefault="00AB4094" w:rsidP="00C365C5">
      <w:pPr>
        <w:ind w:left="567" w:hanging="567"/>
        <w:jc w:val="both"/>
        <w:rPr>
          <w:rFonts w:ascii="Garamond" w:hAnsi="Garamond"/>
          <w:color w:val="000000"/>
          <w:lang w:val="id-ID"/>
        </w:rPr>
      </w:pPr>
    </w:p>
    <w:p w:rsidR="009365A3" w:rsidRDefault="009365A3" w:rsidP="00C365C5">
      <w:pPr>
        <w:ind w:left="567" w:hanging="567"/>
        <w:jc w:val="both"/>
        <w:rPr>
          <w:rFonts w:ascii="Garamond" w:hAnsi="Garamond"/>
          <w:color w:val="000000"/>
          <w:lang w:val="id-ID"/>
        </w:rPr>
      </w:pPr>
    </w:p>
    <w:p w:rsidR="009365A3" w:rsidRDefault="009365A3" w:rsidP="00C365C5">
      <w:pPr>
        <w:ind w:left="567" w:hanging="567"/>
        <w:jc w:val="both"/>
        <w:rPr>
          <w:rFonts w:ascii="Garamond" w:hAnsi="Garamond"/>
          <w:color w:val="000000"/>
          <w:lang w:val="id-ID"/>
        </w:rPr>
      </w:pPr>
    </w:p>
    <w:p w:rsidR="009365A3" w:rsidRDefault="009365A3" w:rsidP="00C365C5">
      <w:pPr>
        <w:ind w:left="567" w:hanging="567"/>
        <w:jc w:val="both"/>
        <w:rPr>
          <w:rFonts w:ascii="Garamond" w:hAnsi="Garamond"/>
          <w:color w:val="000000"/>
          <w:lang w:val="id-ID"/>
        </w:rPr>
      </w:pPr>
    </w:p>
    <w:p w:rsidR="009365A3" w:rsidRDefault="009365A3" w:rsidP="00C365C5">
      <w:pPr>
        <w:ind w:left="567" w:hanging="567"/>
        <w:jc w:val="both"/>
        <w:rPr>
          <w:rFonts w:ascii="Garamond" w:hAnsi="Garamond"/>
          <w:color w:val="000000"/>
          <w:lang w:val="id-ID"/>
        </w:rPr>
      </w:pPr>
    </w:p>
    <w:p w:rsidR="009365A3" w:rsidRDefault="009365A3" w:rsidP="00C365C5">
      <w:pPr>
        <w:ind w:left="567" w:hanging="567"/>
        <w:jc w:val="both"/>
        <w:rPr>
          <w:rFonts w:ascii="Garamond" w:hAnsi="Garamond"/>
          <w:color w:val="000000"/>
          <w:lang w:val="id-ID"/>
        </w:rPr>
      </w:pPr>
    </w:p>
    <w:p w:rsidR="009365A3" w:rsidRPr="009365A3" w:rsidRDefault="009365A3" w:rsidP="00C365C5">
      <w:pPr>
        <w:ind w:left="567" w:hanging="567"/>
        <w:jc w:val="both"/>
        <w:rPr>
          <w:rFonts w:ascii="Garamond" w:hAnsi="Garamond"/>
          <w:color w:val="000000"/>
          <w:lang w:val="id-ID"/>
        </w:rPr>
      </w:pPr>
    </w:p>
    <w:sectPr w:rsidR="009365A3" w:rsidRPr="009365A3" w:rsidSect="00363DB8">
      <w:headerReference w:type="even" r:id="rId13"/>
      <w:footerReference w:type="even" r:id="rId14"/>
      <w:footerReference w:type="default" r:id="rId15"/>
      <w:footerReference w:type="first" r:id="rId16"/>
      <w:pgSz w:w="10319" w:h="14572" w:code="13"/>
      <w:pgMar w:top="1701" w:right="1418" w:bottom="1701" w:left="1418" w:header="851" w:footer="851" w:gutter="0"/>
      <w:pgNumType w:start="10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F54" w:rsidRDefault="00C66F54">
      <w:r>
        <w:separator/>
      </w:r>
    </w:p>
  </w:endnote>
  <w:endnote w:type="continuationSeparator" w:id="0">
    <w:p w:rsidR="00C66F54" w:rsidRDefault="00C6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Garamond">
    <w:altName w:val="PMingLiU-ExtB"/>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1D38">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14:anchorId="617B5029" wp14:editId="52BF2091">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410074" w:rsidRPr="00410074">
                            <w:rPr>
                              <w:b/>
                              <w:noProof/>
                              <w:color w:val="FFFFFF"/>
                              <w:sz w:val="14"/>
                              <w:szCs w:val="14"/>
                            </w:rPr>
                            <w:t>124</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CB3120" w:rsidRPr="00AC2AE8" w:rsidRDefault="00CB3120"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Pr>
                        <w:rFonts w:ascii="Garamond" w:hAnsi="Garamond"/>
                        <w:sz w:val="14"/>
                        <w:szCs w:val="14"/>
                        <w:lang w:val="id-ID"/>
                      </w:rPr>
                      <w:t>7</w:t>
                    </w:r>
                    <w:r w:rsidRPr="00AC2AE8">
                      <w:rPr>
                        <w:rFonts w:ascii="Garamond" w:hAnsi="Garamond"/>
                        <w:sz w:val="14"/>
                        <w:szCs w:val="14"/>
                      </w:rPr>
                      <w:t xml:space="preserve">, No. </w:t>
                    </w:r>
                    <w:r>
                      <w:rPr>
                        <w:rFonts w:ascii="Garamond" w:hAnsi="Garamond"/>
                        <w:sz w:val="14"/>
                        <w:szCs w:val="14"/>
                        <w:lang w:val="id-ID"/>
                      </w:rPr>
                      <w:t>1</w:t>
                    </w:r>
                    <w:r>
                      <w:rPr>
                        <w:rFonts w:ascii="Garamond" w:hAnsi="Garamond"/>
                        <w:sz w:val="14"/>
                        <w:szCs w:val="14"/>
                      </w:rPr>
                      <w:t xml:space="preserve"> </w:t>
                    </w:r>
                    <w:r w:rsidRPr="00132FFF">
                      <w:rPr>
                        <w:rFonts w:ascii="Garamond" w:hAnsi="Garamond"/>
                        <w:sz w:val="14"/>
                        <w:szCs w:val="20"/>
                      </w:rPr>
                      <w:t>Year</w:t>
                    </w:r>
                    <w:r>
                      <w:rPr>
                        <w:rFonts w:ascii="Garamond" w:hAnsi="Garamond"/>
                        <w:sz w:val="14"/>
                        <w:szCs w:val="14"/>
                      </w:rPr>
                      <w:t xml:space="preserve"> 202</w:t>
                    </w:r>
                    <w:r>
                      <w:rPr>
                        <w:rFonts w:ascii="Garamond" w:hAnsi="Garamond"/>
                        <w:sz w:val="14"/>
                        <w:szCs w:val="14"/>
                        <w:lang w:val="id-ID"/>
                      </w:rPr>
                      <w:t>2</w:t>
                    </w:r>
                    <w:r w:rsidRPr="00AC2AE8">
                      <w:rPr>
                        <w:rFonts w:ascii="Garamond" w:hAnsi="Garamond"/>
                        <w:sz w:val="14"/>
                        <w:szCs w:val="14"/>
                      </w:rPr>
                      <w:t xml:space="preserve"> |ISBN: 2548-2343 (p), 2548-3102 (e)</w:t>
                    </w:r>
                  </w:p>
                  <w:p w:rsidR="00CB3120" w:rsidRPr="00AC2AE8" w:rsidRDefault="00CB3120"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410074" w:rsidRPr="00410074">
                      <w:rPr>
                        <w:b/>
                        <w:noProof/>
                        <w:color w:val="FFFFFF"/>
                        <w:sz w:val="14"/>
                        <w:szCs w:val="14"/>
                      </w:rPr>
                      <w:t>124</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14:anchorId="09514C32" wp14:editId="0EE4D4C3">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Default="00CB3120">
                            <w:pPr>
                              <w:jc w:val="right"/>
                            </w:pPr>
                            <w:r>
                              <w:fldChar w:fldCharType="begin"/>
                            </w:r>
                            <w:r>
                              <w:instrText xml:space="preserve"> PAGE    \* MERGEFORMAT </w:instrText>
                            </w:r>
                            <w:r>
                              <w:fldChar w:fldCharType="separate"/>
                            </w:r>
                            <w:r w:rsidR="00410074" w:rsidRPr="00410074">
                              <w:rPr>
                                <w:b/>
                                <w:noProof/>
                                <w:color w:val="FFFFFF"/>
                              </w:rPr>
                              <w:t>124</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B3120" w:rsidRDefault="00CB3120">
                      <w:pPr>
                        <w:jc w:val="right"/>
                      </w:pPr>
                      <w:r>
                        <w:fldChar w:fldCharType="begin"/>
                      </w:r>
                      <w:r>
                        <w:instrText xml:space="preserve"> PAGE    \* MERGEFORMAT </w:instrText>
                      </w:r>
                      <w:r>
                        <w:fldChar w:fldCharType="separate"/>
                      </w:r>
                      <w:r w:rsidR="00410074" w:rsidRPr="00410074">
                        <w:rPr>
                          <w:b/>
                          <w:noProof/>
                          <w:color w:val="FFFFFF"/>
                        </w:rPr>
                        <w:t>124</w:t>
                      </w:r>
                      <w:r>
                        <w:fldChar w:fldCharType="end"/>
                      </w:r>
                    </w:p>
                  </w:txbxContent>
                </v:textbox>
              </v:shape>
              <w10:anchorlock/>
            </v:group>
          </w:pict>
        </mc:Fallback>
      </mc:AlternateContent>
    </w:r>
  </w:p>
  <w:p w:rsidR="00CB3120" w:rsidRDefault="00CB3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1D38">
    <w:pPr>
      <w:pStyle w:val="Footer"/>
      <w:ind w:right="-864"/>
      <w:jc w:val="right"/>
    </w:pPr>
    <w:r>
      <w:rPr>
        <w:noProof/>
        <w:lang w:val="en-US" w:eastAsia="en-US"/>
      </w:rPr>
      <mc:AlternateContent>
        <mc:Choice Requires="wpg">
          <w:drawing>
            <wp:inline distT="0" distB="0" distL="0" distR="0" wp14:anchorId="7BC2F1F6" wp14:editId="00C96242">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410074" w:rsidRPr="00410074">
                              <w:rPr>
                                <w:b/>
                                <w:noProof/>
                                <w:color w:val="FFFFFF"/>
                              </w:rPr>
                              <w:t>123</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410074" w:rsidRPr="00410074">
                        <w:rPr>
                          <w:b/>
                          <w:noProof/>
                          <w:color w:val="FFFFFF"/>
                        </w:rPr>
                        <w:t>123</w:t>
                      </w:r>
                      <w:r>
                        <w:fldChar w:fldCharType="end"/>
                      </w:r>
                    </w:p>
                  </w:txbxContent>
                </v:textbox>
              </v:shape>
              <w10:anchorlock/>
            </v:group>
          </w:pict>
        </mc:Fallback>
      </mc:AlternateContent>
    </w:r>
  </w:p>
  <w:p w:rsidR="00CB3120" w:rsidRDefault="00CB31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Default="003C1D38">
    <w:pPr>
      <w:pStyle w:val="Footer"/>
      <w:ind w:right="-864"/>
      <w:jc w:val="right"/>
    </w:pPr>
    <w:r>
      <w:rPr>
        <w:noProof/>
        <w:lang w:val="en-US" w:eastAsia="en-US"/>
      </w:rPr>
      <mc:AlternateContent>
        <mc:Choice Requires="wpg">
          <w:drawing>
            <wp:inline distT="0" distB="0" distL="0" distR="0" wp14:anchorId="48CB2311" wp14:editId="340D19A5">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120" w:rsidRPr="00375231" w:rsidRDefault="00CB3120">
                            <w:pPr>
                              <w:rPr>
                                <w:color w:val="FFFFFF"/>
                              </w:rPr>
                            </w:pPr>
                            <w:r>
                              <w:fldChar w:fldCharType="begin"/>
                            </w:r>
                            <w:r>
                              <w:instrText xml:space="preserve"> PAGE    \* MERGEFORMAT </w:instrText>
                            </w:r>
                            <w:r>
                              <w:fldChar w:fldCharType="separate"/>
                            </w:r>
                            <w:r w:rsidR="00410074" w:rsidRPr="00410074">
                              <w:rPr>
                                <w:b/>
                                <w:noProof/>
                                <w:color w:val="FFFFFF"/>
                              </w:rPr>
                              <w:t>105</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B3120" w:rsidRPr="00375231" w:rsidRDefault="00CB3120">
                      <w:pPr>
                        <w:rPr>
                          <w:color w:val="FFFFFF"/>
                        </w:rPr>
                      </w:pPr>
                      <w:r>
                        <w:fldChar w:fldCharType="begin"/>
                      </w:r>
                      <w:r>
                        <w:instrText xml:space="preserve"> PAGE    \* MERGEFORMAT </w:instrText>
                      </w:r>
                      <w:r>
                        <w:fldChar w:fldCharType="separate"/>
                      </w:r>
                      <w:r w:rsidR="00410074" w:rsidRPr="00410074">
                        <w:rPr>
                          <w:b/>
                          <w:noProof/>
                          <w:color w:val="FFFFFF"/>
                        </w:rPr>
                        <w:t>105</w:t>
                      </w:r>
                      <w:r>
                        <w:fldChar w:fldCharType="end"/>
                      </w:r>
                    </w:p>
                  </w:txbxContent>
                </v:textbox>
              </v:shape>
              <w10:anchorlock/>
            </v:group>
          </w:pict>
        </mc:Fallback>
      </mc:AlternateContent>
    </w:r>
  </w:p>
  <w:p w:rsidR="00CB3120" w:rsidRDefault="00CB3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F54" w:rsidRDefault="00C66F54">
      <w:r>
        <w:separator/>
      </w:r>
    </w:p>
  </w:footnote>
  <w:footnote w:type="continuationSeparator" w:id="0">
    <w:p w:rsidR="00C66F54" w:rsidRDefault="00C66F54">
      <w:r>
        <w:continuationSeparator/>
      </w:r>
    </w:p>
  </w:footnote>
  <w:footnote w:id="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{"citationItems":[{"id":"ITEM-1","itemData":{"DOI":"10.1007/s41775-020-00095-1","ISBN":"0123456789","abstract":"This paper assesses the impact of the spread of COVID-19 and the lockdown on wholesale prices and quantities traded in agricultural markets. We compare whether these impacts differ across non-perishable (wheat) and perishable commodities (tomato and onion), and the extent to which any adverse impacts are mitigated by the adoption of a greater number of agricultural market reform measures. We use a granular data set comprising daily observations for 3 months from nearly 1000 markets across five states and use a double-and triple-difference estimation strategy. Expectedly, our results differ by type of commodity and period of analysis. While all prices spiked initially in April, they recovered relatively quickly, underscoring the importance of time duration for analysis. Wheat prices were anchored in large part by the minimum support price, while tomato prices were lower in some months. Supply constraints began easing in May with greater market arrivals perhaps reflecting distress sales. Market reform measures did help in insulating farmers from lower prices, but these effects are salient for the perishable goods, and not so much for wheat where the government remained the dominant market player. Taken together, these results point to considerable resilience in agricultural markets in dealing with the COVID-19 shock, buffered by adequate policy support.","author":[{"dropping-particle":"","family":"Varshney","given":"Deepak","non-dropping-particle":"","parse-names":false,"suffix":""},{"dropping-particle":"","family":"Roy","given":"Devesh","non-dropping-particle":"","parse-names":false,"suffix":""},{"dropping-particle":"V","family":"Meenakshi","given":"J","non-dropping-particle":"","parse-names":false,"suffix":""},{"dropping-particle":"V","family":"Meenakshi meena","given":"J","non-dropping-particle":"","parse-names":false,"suffix":""},{"dropping-particle":"","family":"Varshney","given":"D","non-dropping-particle":"","parse-names":false,"suffix":""}],"container-title":"Indian Economic Review","id":"ITEM-1","issued":{"date-parts":[["2020"]]},"title":"Impact of COVID-19 on agricultural markets: assessing the roles of commodity characteristics, disease caseload and market reforms · Wholesale prices and trade · Market reforms · Government policy JEL Classification O13 · Q02 · Q18 · L78","type":"article-journal"},"uris":["http://www.mendeley.com/documents/?uuid=c0a01e9b-f3dc-314e-ae06-59e80dd4513d"]}],"mendeley":{"formattedCitation":"Deepak Varshney et al., “Impact of COVID-19 on Agricultural Markets: Assessing the Roles of Commodity Characteristics, Disease Caseload and Market Reforms · Wholesale Prices and Trade · Market Reforms · Government Policy JEL Classification O13 · Q02 · Q18 · L78,” &lt;i&gt;Indian Economic Review&lt;/i&gt;, 2020, https://doi.org/10.1007/s41775-020-00095-1.","plainTextFormattedCitation":"Deepak Varshney et al., “Impact of COVID-19 on Agricultural Markets: Assessing the Roles of Commodity Characteristics, Disease Caseload and Market Reforms · Wholesale Prices and Trade · Market Reforms · Government Policy JEL Classification O13 · Q02 · Q18 · L78,” Indian Economic Review, 2020, https://doi.org/10.1007/s41775-020-00095-1.","previouslyFormattedCitation":"Deepak Varshney et al., “Impact of COVID-19 on Agricultural Markets: Assessing the Roles of Commodity Characteristics, Disease Caseload and Market Reforms · Wholesale Prices and Trade · Market Reforms · Government Policy JEL Classification O13 · Q02 · Q18 · L78,” &lt;i&gt;Indian Economic Review&lt;/i&gt;, 2020, https://doi.org/10.1007/s41775-020-00095-1."},"properties":{"noteIndex":1},"schema":"https://github.com/citation-style-language/schema/raw/master/csl-citation.json"}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Deepak Varshney et al., “Impact of COVID-19 on Agricultural Markets: Assessing the Roles of Commodity Characteristics, Disease Caseload and Market Reforms · Wholesale Prices and Trade · Market Reforms · Government Policy JEL Classification O13 · Q02 · Q18 · L78,” </w:t>
      </w:r>
      <w:r w:rsidRPr="00CB3120">
        <w:rPr>
          <w:rFonts w:ascii="Garamond" w:hAnsi="Garamond"/>
          <w:i/>
          <w:noProof/>
        </w:rPr>
        <w:t>Indian Economic Review</w:t>
      </w:r>
      <w:r w:rsidRPr="00CB3120">
        <w:rPr>
          <w:rFonts w:ascii="Garamond" w:hAnsi="Garamond"/>
          <w:noProof/>
        </w:rPr>
        <w:t>, 2020, https://doi.org/10.1007/s41775-020-00095-1.</w:t>
      </w:r>
      <w:r w:rsidRPr="00CB3120">
        <w:rPr>
          <w:rFonts w:ascii="Garamond" w:hAnsi="Garamond"/>
        </w:rPr>
        <w:fldChar w:fldCharType="end"/>
      </w:r>
    </w:p>
  </w:footnote>
  <w:footnote w:id="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{"citationItems":[{"id":"ITEM-1","itemData":{"author":[{"dropping-particle":"","family":"Matenga","given":"Gerard McCann and Chrispin","non-dropping-particle":"","parse-names":false,"suffix":""}],"container-title":"COVID-19 and Global Inequality","id":"ITEM-1","issue":"May","issued":{"date-parts":[["2020"]]},"page":"15","publisher":"Bristol University Press","title":"COVID-19 in the Global South","type":"chapter"},"locator":"161","uris":["http://www.mendeley.com/documents/?uuid=a5eff030-5388-45ee-94fc-f8a7a85eaf97"]}],"mendeley":{"formattedCitation":"Gerard McCann and Chrispin Matenga, “COVID-19 in the Global South,” in &lt;i&gt;COVID-19 and Global Inequality&lt;/i&gt; (Bristol University Press, 2020), 161.","plainTextFormattedCitation":"Gerard McCann and Chrispin Matenga, “COVID-19 in the Global South,” in COVID-19 and Global Inequality (Bristol University Press, 2020), 161.","previouslyFormattedCitation":"Gerard McCann and Chrispin Matenga, “COVID-19 in the Global South,” in &lt;i&gt;COVID-19 and Global Inequality&lt;/i&gt; (Bristol University Press, 2020), 161."},"properties":{"noteIndex":2},"schema":"https://github.com/citation-style-language/schema/raw/master/csl-citation.json"}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Gerard McCann and Chrispin Matenga, “COVID-19 in the Global South,” in </w:t>
      </w:r>
      <w:r w:rsidRPr="00CB3120">
        <w:rPr>
          <w:rFonts w:ascii="Garamond" w:hAnsi="Garamond"/>
          <w:i/>
          <w:noProof/>
        </w:rPr>
        <w:t>COVID-19 and Global Inequality</w:t>
      </w:r>
      <w:r w:rsidRPr="00CB3120">
        <w:rPr>
          <w:rFonts w:ascii="Garamond" w:hAnsi="Garamond"/>
          <w:noProof/>
        </w:rPr>
        <w:t xml:space="preserve"> (Bristol University Press, 2020), 161.</w:t>
      </w:r>
      <w:r w:rsidRPr="00CB3120">
        <w:rPr>
          <w:rFonts w:ascii="Garamond" w:hAnsi="Garamond"/>
        </w:rPr>
        <w:fldChar w:fldCharType="end"/>
      </w:r>
    </w:p>
  </w:footnote>
  <w:footnote w:id="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{"citationItems":[{"id":"ITEM-1","itemData":{"ISSN":"2715-4920","author":[{"dropping-particle":"","family":"Thaha","given":"Abdurrahman Firdaus","non-dropping-particle":"","parse-names":false,"suffix":""}],"container-title":"BRAND Jurnal Ilmiah Manajemen Pemasaran","id":"ITEM-1","issue":"1","issued":{"date-parts":[["2020"]]},"page":"147-153","title":"Dampak covid-19 terhadap UMKM di Indonesia","type":"article-journal","volume":"2"},"locator":"147","uris":["http://www.mendeley.com/documents/?uuid=424ab8d8-5037-40fb-93e5-47f11df10f54"]}],"mendeley":{"formattedCitation":"Abdurrahman Firdaus Thaha, “Dampak Covid-19 Terhadap UMKM Di Indonesia,” &lt;i&gt;BRAND Jurnal Ilmiah Manajemen Pemasaran&lt;/i&gt; 2, no. 1 (2020): 147.","manualFormatting":" (Thaha 2020:147)","plainTextFormattedCitation":"Abdurrahman Firdaus Thaha, “Dampak Covid-19 Terhadap UMKM Di Indonesia,” BRAND Jurnal Ilmiah Manajemen Pemasaran 2, no. 1 (2020): 147.","previouslyFormattedCitation":"Abdurrahman Firdaus Thaha, “Dampak Covid-19 Terhadap UMKM Di Indonesia,” &lt;i&gt;BRAND Jurnal Ilmiah Manajemen Pemasaran&lt;/i&gt; 2, no. 1 (2020): 147."},"properties":{"noteIndex":3},"schema":"https://github.com/citation-style-language/schema/raw/master/csl-citation.json"}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 (Thaha 2020:147)</w:t>
      </w:r>
      <w:r w:rsidRPr="00CB3120">
        <w:rPr>
          <w:rFonts w:ascii="Garamond" w:hAnsi="Garamond"/>
        </w:rPr>
        <w:fldChar w:fldCharType="end"/>
      </w:r>
    </w:p>
  </w:footnote>
  <w:footnote w:id="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{"citationItems":[{"id":"ITEM-1","itemData":{"author":[{"dropping-particle":"","family":"Avisena","given":"M. Ilham Ramadhan","non-dropping-particle":"","parse-names":false,"suffix":""}],"container-title":"M. Ilham Ramadhan Avisena mediaindonesia.com","id":"ITEM-1","issued":{"date-parts":[["2020"]]},"page":"Rabu 05 Agustus 2020, 14:56 WIB Sumber: https://me","publisher-place":"jakarta","title":"pertumbuhan-ekonomi-saat-ini-terendah-sejak-krisis-moneter","type":"article-newspaper"},"uris":["http://www.mendeley.com/documents/?uuid=a2595081-f2c3-42e5-9411-3a295b942dd0"]}],"mendeley":{"formattedCitation":"M. Ilham Ramadhan Avisena, “Pertumbuhan-Ekonomi-Saat-Ini-Terendah-Sejak-Krisis-Moneter,” &lt;i&gt;M. Ilham Ramadhan Avisena Mediaindonesia.Com&lt;/i&gt;, 2020.","plainTextFormattedCitation":"M. Ilham Ramadhan Avisena, “Pertumbuhan-Ekonomi-Saat-Ini-Terendah-Sejak-Krisis-Moneter,” M. Ilham Ramadhan Avisena Mediaindonesia.Com, 2020.","previouslyFormattedCitation":"M. Ilham Ramadhan Avisena, “Pertumbuhan-Ekonomi-Saat-Ini-Terendah-Sejak-Krisis-Moneter,” &lt;i&gt;M. Ilham Ramadhan Avisena Mediaindonesia.Com&lt;/i&gt;, 2020."},"properties":{"noteIndex":4},"schema":"https://github.com/citation-style-language/schema/raw/master/csl-citation.json"}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 Ilham Ramadhan Avisena, “Pertumbuhan-Ekonomi-Saat-Ini-Terendah-Sejak-Krisis-Moneter,” </w:t>
      </w:r>
      <w:r w:rsidRPr="00CB3120">
        <w:rPr>
          <w:rFonts w:ascii="Garamond" w:hAnsi="Garamond"/>
          <w:i/>
          <w:noProof/>
        </w:rPr>
        <w:t>M. Ilham Ramadhan Avisena Mediaindonesia.Com</w:t>
      </w:r>
      <w:r w:rsidRPr="00CB3120">
        <w:rPr>
          <w:rFonts w:ascii="Garamond" w:hAnsi="Garamond"/>
          <w:noProof/>
        </w:rPr>
        <w:t>, 2020.</w:t>
      </w:r>
      <w:r w:rsidRPr="00CB3120">
        <w:rPr>
          <w:rFonts w:ascii="Garamond" w:hAnsi="Garamond"/>
        </w:rPr>
        <w:fldChar w:fldCharType="end"/>
      </w:r>
    </w:p>
  </w:footnote>
  <w:footnote w:id="5">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{"citationItems":[{"id":"ITEM-1","itemData":{"author":[{"dropping-particle":"","family":"Miftahudin","given":"Husen","non-dropping-particle":"","parse-names":false,"suffix":""}],"id":"ITEM-1","issued":{"date-parts":[["0"]]},"number-of-pages":"23 September 2020 16:54","publisher-place":"jakarta","title":"72,6% Pelaku UMKM Terdampak Pandemi","type":"report"},"uris":["http://www.mendeley.com/documents/?uuid=672b1e60-c3c7-4cc7-9d10-5f7a30ec4dcf"]}],"mendeley":{"formattedCitation":"Husen Miftahudin, “72,6% Pelaku UMKM Terdampak Pandemi” (jakarta, n.d.).","plainTextFormattedCitation":"Husen Miftahudin, “72,6% Pelaku UMKM Terdampak Pandemi” (jakarta, n.d.).","previouslyFormattedCitation":"Husen Miftahudin, “72,6% Pelaku UMKM Terdampak Pandemi” (jakarta, n.d.)."},"properties":{"noteIndex":5},"schema":"https://github.com/citation-style-language/schema/raw/master/csl-citation.json"}</w:instrText>
      </w:r>
      <w:r w:rsidRPr="00CB3120">
        <w:rPr>
          <w:rFonts w:ascii="Garamond" w:hAnsi="Garamond"/>
        </w:rPr>
        <w:fldChar w:fldCharType="separate"/>
      </w:r>
      <w:r w:rsidRPr="00CB3120">
        <w:rPr>
          <w:rFonts w:ascii="Garamond" w:hAnsi="Garamond"/>
          <w:noProof/>
        </w:rPr>
        <w:t>Husen Miftahudin, “72,6% Pelaku UMKM Terdampak Pandemi” (jakarta, n.d.).</w:t>
      </w:r>
      <w:r w:rsidRPr="00CB3120">
        <w:rPr>
          <w:rFonts w:ascii="Garamond" w:hAnsi="Garamond"/>
        </w:rPr>
        <w:fldChar w:fldCharType="end"/>
      </w:r>
    </w:p>
  </w:footnote>
  <w:footnote w:id="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{"citationItems":[{"id":"ITEM-1","itemData":{"author":[{"dropping-particle":"","family":"Fernandes","given":"Nuno","non-dropping-particle":"","parse-names":false,"suffix":""}],"container-title":"Full Professor of Finance IESE Business School Spain","id":"ITEM-1","issued":{"date-parts":[["2020"]]},"page":"0-29","title":"Economic effects of coronavirus outbreak ( COVID-19 ) on the world economy","type":"article-journal"},"locator":"17","uris":["http://www.mendeley.com/documents/?uuid=9e7d57bb-0b13-4258-84e9-79980794956a"]}],"mendeley":{"formattedCitation":"Nuno Fernandes, “Economic Effects of Coronavirus Outbreak ( COVID-19 ) on the World Economy,” &lt;i&gt;Full Professor of Finance IESE Business School Spain&lt;/i&gt;, 2020, 17.","plainTextFormattedCitation":"Nuno Fernandes, “Economic Effects of Coronavirus Outbreak ( COVID-19 ) on the World Economy,” Full Professor of Finance IESE Business School Spain, 2020, 17.","previouslyFormattedCitation":"Nuno Fernandes, “Economic Effects of Coronavirus Outbreak ( COVID-19 ) on the World Economy,” &lt;i&gt;Full Professor of Finance IESE Business School Spain&lt;/i&gt;, 2020, 17."},"properties":{"noteIndex":6},"schema":"https://github.com/citation-style-language/schema/raw/master/csl-citation.json"}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Nuno Fernandes, “Economic Effects of Coronavirus Outbreak ( COVID-19 ) on the World Economy,” </w:t>
      </w:r>
      <w:r w:rsidRPr="00CB3120">
        <w:rPr>
          <w:rFonts w:ascii="Garamond" w:hAnsi="Garamond"/>
          <w:bCs/>
          <w:i/>
          <w:noProof/>
        </w:rPr>
        <w:t>Full Professor of Finance IESE Business School Spain</w:t>
      </w:r>
      <w:r w:rsidRPr="00CB3120">
        <w:rPr>
          <w:rFonts w:ascii="Garamond" w:hAnsi="Garamond"/>
          <w:bCs/>
          <w:noProof/>
        </w:rPr>
        <w:t>, 2020, 17.</w:t>
      </w:r>
      <w:r w:rsidRPr="00CB3120">
        <w:rPr>
          <w:rFonts w:ascii="Garamond" w:hAnsi="Garamond"/>
        </w:rPr>
        <w:fldChar w:fldCharType="end"/>
      </w:r>
    </w:p>
  </w:footnote>
  <w:footnote w:id="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{"citationItems":[{"id":"ITEM-1","itemData":{"abstract":"Perempuan dan laki-laki memiliki kesetaraan, sehingga perempuan dan laki-laki mempunyai kesempatan, akses serta peluang yang sama sebagai sumber daya pembangunan. Kesetaraan merupakan target yang harus dicapai dalam tujuan pembangunan nasional jangka menengah dan jangka panjang maupun Millenium Development Goal (MDGs). Perempuan tidak hanya menjadi pengguna hasil pembangunan, namun juga ikut berperan melaksanakan dan berpartisipasi di segenap aspek pembangunan bangsa. Usaha-usaha pemerintah untuk meningkatkan kemampuan perempuan dengan cara pemberdayaan, yang mengandung arti meningkatkan kualitas dan peran perempuan disegala bidang pembanguan. Program kesetaraan gender yang mengintegrasikan gender dalam arus pembangunan menempatkan perempuan sebagai subyek pembangunan. Hal ini merupakan peluang bagi perempuan untuk berkiprah lebih luas dalam menunjukan potensi diri. Perempuan memiliki peran-peran yang strategis dalam mendorong pembagunan yakni sebagai manajer rumah tanngga, sebagai pelaku ekonomi dan sebagai perempuan karier. Tantangan yang dihadapi perempuan dalam melaksanakan perannya di era digital bagaimana mengubah","author":[{"dropping-particle":"","family":"Ni Wayan Suarmini, Siti Zahrok","given":"Dyah Satya Yoga Agustin","non-dropping-particle":"","parse-names":false,"suffix":""}],"container-title":"Prosiding SEMATEKSOS 3 \"Strategi Pembangunan Nasional Menghadapi Revolusi Industri 4.0\"","id":"ITEM-1","issued":{"date-parts":[["2018"]]},"page":"48-53","title":"Peluang dan Tantangan Peran Perempuan","type":"article-journal"},"locator":"151","uris":["http://www.mendeley.com/documents/?uuid=591925bc-aff7-45be-aef4-e79142f0f6c2"]}],"mendeley":{"formattedCitation":"Dyah Satya Yoga Agustin Ni Wayan Suarmini, Siti Zahrok, “Peluang Dan Tantangan Peran Perempuan,” &lt;i&gt;Prosiding SEMATEKSOS 3 “Strategi Pembangunan Nasional Menghadapi Revolusi Industri 4.0,”&lt;/i&gt; 2018, 151.","plainTextFormattedCitation":"Dyah Satya Yoga Agustin Ni Wayan Suarmini, Siti Zahrok, “Peluang Dan Tantangan Peran Perempuan,” Prosiding SEMATEKSOS 3 “Strategi Pembangunan Nasional Menghadapi Revolusi Industri 4.0,” 2018, 151.","previouslyFormattedCitation":"Dyah Satya Yoga Agustin Ni Wayan Suarmini, Siti Zahrok, “Peluang Dan Tantangan Peran Perempuan,” &lt;i&gt;Prosiding SEMATEKSOS 3 “Strategi Pembangunan Nasional Menghadapi Revolusi Industri 4.0,”&lt;/i&gt; 2018, 151."},"properties":{"noteIndex":7},"schema":"https://github.com/citation-style-language/schema/raw/master/csl-citation.json"}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Dyah Satya Yoga Agustin Ni Wayan Suarmini, Siti Zahrok, “Peluang Dan Tantangan Peran Perempuan,” </w:t>
      </w:r>
      <w:r w:rsidRPr="00CB3120">
        <w:rPr>
          <w:rFonts w:ascii="Garamond" w:hAnsi="Garamond"/>
          <w:i/>
          <w:noProof/>
        </w:rPr>
        <w:t>Prosiding SEMATEKSOS 3 “Strategi Pembangunan Nasional Menghadapi Revolusi Industri 4.0,”</w:t>
      </w:r>
      <w:r w:rsidRPr="00CB3120">
        <w:rPr>
          <w:rFonts w:ascii="Garamond" w:hAnsi="Garamond"/>
          <w:noProof/>
        </w:rPr>
        <w:t xml:space="preserve"> 2018, 151.</w:t>
      </w:r>
      <w:r w:rsidRPr="00CB3120">
        <w:rPr>
          <w:rFonts w:ascii="Garamond" w:hAnsi="Garamond"/>
        </w:rPr>
        <w:fldChar w:fldCharType="end"/>
      </w:r>
    </w:p>
  </w:footnote>
  <w:footnote w:id="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{"citationItems":[{"id":"ITEM-1","itemData":{"author":[{"dropping-particle":"","family":"Dubey","given":"Pushakar","non-dropping-particle":"","parse-names":false,"suffix":""},{"dropping-particle":"","family":"Sahu","given":"Kailash Kumar","non-dropping-particle":"","parse-names":false,"suffix":""}],"id":"ITEM-1","issue":"August","issued":{"date-parts":[["2020"]]},"page":"1-5","title":"MSMEs in COVID-19 Crisis and India ’ s Economic Relief Package : A Critical Review","type":"article-journal"},"locator":"1","uris":["http://www.mendeley.com/documents/?uuid=5a8bdee6-87f3-4c54-9d58-18e55e94a2cb"]}],"mendeley":{"formattedCitation":"Pushakar Dubey and Kailash Kumar Sahu, “MSMEs in COVID-19 Crisis and India ’ s Economic Relief Package</w:instrText>
      </w:r>
      <w:r w:rsidRPr="00CB3120">
        <w:instrText> </w:instrText>
      </w:r>
      <w:r w:rsidRPr="00CB3120">
        <w:rPr>
          <w:rFonts w:ascii="Garamond" w:hAnsi="Garamond"/>
        </w:rPr>
        <w:instrText>: A Critical Review,” no. August (2020): 1.","plainTextFormattedCitation":"Pushakar Dubey and Kailash Kumar Sahu, “MSMEs in COVID-19 Crisis and India ’ s Economic Relief Package</w:instrText>
      </w:r>
      <w:r w:rsidRPr="00CB3120">
        <w:instrText> </w:instrText>
      </w:r>
      <w:r w:rsidRPr="00CB3120">
        <w:rPr>
          <w:rFonts w:ascii="Garamond" w:hAnsi="Garamond"/>
        </w:rPr>
        <w:instrText>: A Critical Review,” no. August (2020): 1.","previouslyFormattedCitation":"Pushakar Dubey and Kailash Kumar Sahu, “MSMEs in COVID-19 Crisis and India ’ s Economic Relief Package</w:instrText>
      </w:r>
      <w:r w:rsidRPr="00CB3120">
        <w:instrText> </w:instrText>
      </w:r>
      <w:r w:rsidRPr="00CB3120">
        <w:rPr>
          <w:rFonts w:ascii="Garamond" w:hAnsi="Garamond"/>
        </w:rPr>
        <w:instrText>: A Critical Review,” no. August (2020): 1."},"properties":{"noteIndex":8},"schema":"https://github.com/citation-style-language/schema/raw/master/csl-citation.json"}</w:instrText>
      </w:r>
      <w:r w:rsidRPr="00CB3120">
        <w:rPr>
          <w:rFonts w:ascii="Garamond" w:hAnsi="Garamond"/>
        </w:rPr>
        <w:fldChar w:fldCharType="separate"/>
      </w:r>
      <w:r w:rsidRPr="00CB3120">
        <w:rPr>
          <w:rFonts w:ascii="Garamond" w:hAnsi="Garamond"/>
          <w:bCs/>
          <w:noProof/>
        </w:rPr>
        <w:t>Pushakar Dubey and Kailash Kumar Sahu, “MSMEs in COVID-19 Crisis and India ’ s Economic Relief Package</w:t>
      </w:r>
      <w:r w:rsidRPr="00CB3120">
        <w:rPr>
          <w:bCs/>
          <w:noProof/>
        </w:rPr>
        <w:t> </w:t>
      </w:r>
      <w:r w:rsidRPr="00CB3120">
        <w:rPr>
          <w:rFonts w:ascii="Garamond" w:hAnsi="Garamond"/>
          <w:bCs/>
          <w:noProof/>
        </w:rPr>
        <w:t>: A Critical Review,” no. August (2020): 1.</w:t>
      </w:r>
      <w:r w:rsidRPr="00CB3120">
        <w:rPr>
          <w:rFonts w:ascii="Garamond" w:hAnsi="Garamond"/>
        </w:rPr>
        <w:fldChar w:fldCharType="end"/>
      </w:r>
    </w:p>
  </w:footnote>
  <w:footnote w:id="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{"citationItems":[{"id":"ITEM-1","itemData":{"abstract":"The COVID-19 pandemic, which has already infected almost 170,000 people in 148 countries, resulting in more than 6,500 deaths, 1 has the potential to reach a large proportion of the global population. Some estimates suggest that 40-70 per cent of the world's population could become infected. 2 The crisis has already transformed into an economic and labour market shock, impacting not only supply (production of goods and services) but also demand (consumption and investment). Disruptions to production, initially in Asia, have now spread to supply chains across the world. All businesses, regardless of size, are facing serious challenges, especially those in the aviation, tourism and hospitality industries, with a real threat of significant declines in revenue, insolvencies and job losses in specific sectors. Sustaining business operations will be particularly difficult for Small and Medium Enterprises (SMEs). Following travel bans, border closures and quarantine measures, many workers cannot move to their places of work or carry out their jobs, which has knock-on effects on incomes, particularly for informal and casually-employed workers. Consumers in many economies are unable or reluctant to purchase goods and services. Given the current environment of uncertainty and fear, enterprises are likely to delay investments, purchases of goods and the hiring of workers. Prospects for the economy and the quantity and quality of employment are deteriorating rapidly. While updated forecasts vary considerably-and largely underestimate the situation-they all point to a significant negative impact on the global economy, at least in the first half of 2020. 3 These worrisome figures show growing signs of a global economic recession. Swift and coordinated policy responses are needed at national and global level, with strong multilateral leadership, to limit the direct health effects of COVID-19 on workers and their families, while mitigating the indirect economic fallout across the global economy. Protecting workers and their families from the risk of infection needs to be a top priority. Demand-side measures to protect those facing income losses because of infection or reduced economic activity are critical to stimulating the economy. Income protection also mitigates the disincentives against disclosing potential infections, especially amongst low-income and already disadvantaged groups of workers.","author":[{"dropping-particle":"","family":"Monitor","given":"I L O","non-dropping-particle":"","parse-names":false,"suffix":""}],"id":"ITEM-1","issue":"March","issued":{"date-parts":[["2020"]]},"page":"1-15","title":". Current situation: Why are labour markets important?","type":"article-journal"},"locator":"2","uris":["http://www.mendeley.com/documents/?uuid=cb8a0532-883b-4ce1-9895-c7b8eeb00170"]}],"mendeley":{"formattedCitation":"I L O Monitor, . “. Current Situation: Why Are Labour Markets Important?,” no. March (2020): 2, https://gisanddata.maps.arcgis.com/apps/opsdashboard/index.html#/bda7594740fd40299423467b48e9ecf6.CEPR.https://voxeu.org/content/economics-time-covid-193SeeforexampleUNCTAD,https://unctad.org/en/pages/PressRelease.aspx?OriginalVersionID=548.","plainTextFormattedCitation":"I L O Monitor, . “. Current Situation: Why Are Labour Markets Important?,” no. March (2020): 2, https://gisanddata.maps.arcgis.com/apps/opsdashboard/index.html#/bda7594740fd40299423467b48e9ecf6.CEPR.https://voxeu.org/content/economics-time-covid-193SeeforexampleUNCTAD,https://unctad.org/en/pages/PressRelease.aspx?OriginalVersionID=548.","previouslyFormattedCitation":"I L O Monitor, . “. Current Situation: Why Are Labour Markets Important?,” no. March (2020): 2, https://gisanddata.maps.arcgis.com/apps/opsdashboard/index.html#/bda7594740fd40299423467b48e9ecf6.CEPR.https://voxeu.org/content/economics-time-covid-193SeeforexampleUNCTAD,https://unctad.org/en/pages/PressRelease.aspx?OriginalVersionID=548."},"properties":{"noteIndex":9},"schema":"https://github.com/citation-style-language/schema/raw/master/csl-citation.json"}</w:instrText>
      </w:r>
      <w:r w:rsidRPr="00CB3120">
        <w:rPr>
          <w:rFonts w:ascii="Garamond" w:hAnsi="Garamond"/>
        </w:rPr>
        <w:fldChar w:fldCharType="separate"/>
      </w:r>
      <w:r w:rsidRPr="00CB3120">
        <w:rPr>
          <w:rFonts w:ascii="Garamond" w:hAnsi="Garamond"/>
          <w:bCs/>
          <w:noProof/>
        </w:rPr>
        <w:t>I L O Monitor, . “. Current Situation: Why Are Labour Markets Important?,” no. March (2020): 2, https://gisanddata.maps.arcgis.com/apps/opsdashboard/index.html#/bda7594740fd40299423467b48e9ecf6.CEPR.https://voxeu.org/content/economics-time-covid-193SeeforexampleUNCTAD,https://unctad.org/en/pages/PressRelease.aspx?OriginalVersionID=548.</w:t>
      </w:r>
      <w:r w:rsidRPr="00CB3120">
        <w:rPr>
          <w:rFonts w:ascii="Garamond" w:hAnsi="Garamond"/>
        </w:rPr>
        <w:fldChar w:fldCharType="end"/>
      </w:r>
    </w:p>
  </w:footnote>
  <w:footnote w:id="1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{"citationItems":[{"id":"ITEM-1","itemData":{"author":[{"dropping-particle":"","family":"Indonesia","given":"OJK","non-dropping-particle":"","parse-names":false,"suffix":""}],"id":"ITEM-1","issued":{"date-parts":[["2020"]]},"page":"1-103","publisher":"Departemen perijinjan dan informasi Perbankan","title":"Statistik Perbankan Syari'ah","type":"entry-encyclopedia"},"locator":"9","uris":["http://www.mendeley.com/documents/?uuid=01c388a7-ce98-41f1-bbc1-68cdbc47f302"]}],"mendeley":{"formattedCitation":"OJK Indonesia, “Statistik Perbankan Syari’ah” (Departemen perijinjan dan informasi Perbankan, 2020), 9.","plainTextFormattedCitation":"OJK Indonesia, “Statistik Perbankan Syari’ah” (Departemen perijinjan dan informasi Perbankan, 2020), 9.","previouslyFormattedCitation":"OJK Indonesia, “Statistik Perbankan Syari’ah” (Departemen perijinjan dan informasi Perbankan, 2020), 9."},"properties":{"noteIndex":10},"schema":"https://github.com/citation-style-language/schema/raw/master/csl-citation.json"}</w:instrText>
      </w:r>
      <w:r w:rsidRPr="00CB3120">
        <w:rPr>
          <w:rFonts w:ascii="Garamond" w:hAnsi="Garamond"/>
        </w:rPr>
        <w:fldChar w:fldCharType="separate"/>
      </w:r>
      <w:r w:rsidRPr="00CB3120">
        <w:rPr>
          <w:rFonts w:ascii="Garamond" w:hAnsi="Garamond"/>
          <w:bCs/>
          <w:noProof/>
        </w:rPr>
        <w:t>OJK Indonesia, “Statistik Perbankan Syari’ah” (Departemen perijinjan dan informasi Perbankan, 2020), 9.</w:t>
      </w:r>
      <w:r w:rsidRPr="00CB3120">
        <w:rPr>
          <w:rFonts w:ascii="Garamond" w:hAnsi="Garamond"/>
        </w:rPr>
        <w:fldChar w:fldCharType="end"/>
      </w:r>
    </w:p>
  </w:footnote>
  <w:footnote w:id="1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{"citationItems":[{"id":"ITEM-1","itemData":{"author":[{"dropping-particle":"","family":"Jan","given":"Amin","non-dropping-particle":"","parse-names":false,"suffix":""},{"dropping-particle":"","family":"Mata","given":"Mário Nuno","non-dropping-particle":"","parse-names":false,"suffix":""},{"dropping-particle":"","family":"Albinsson","given":"Pia A","non-dropping-particle":"","parse-names":false,"suffix":""},{"dropping-particle":"","family":"Martins","given":"José Moleiro","non-dropping-particle":"","parse-names":false,"suffix":""},{"dropping-particle":"","family":"Hassan","given":"Rusni Bt","non-dropping-particle":"","parse-names":false,"suffix":""},{"dropping-particle":"","family":"Mata","given":"Pedro Neves","non-dropping-particle":"","parse-names":false,"suffix":""}],"container-title":"Sustainability","id":"ITEM-1","issue":"5","issued":{"date-parts":[["2021"]]},"page":"2607","publisher":"Multidisciplinary Digital Publishing Institute","title":"Alignment of Islamic Banking Sustainability Indicators with Sustainable Development Goals: Policy Recommendations for Addressing the COVID-19 Pandemic","type":"article-journal","volume":"13"},"locator":"2","uris":["http://www.mendeley.com/documents/?uuid=fdc52c48-7ae1-44ce-9543-d3318f7b5d24"]}],"mendeley":{"formattedCitation":"Amin Jan et al., “Alignment of Islamic Banking Sustainability Indicators with Sustainable Development Goals: Policy Recommendations for Addressing the COVID-19 Pandemic,” &lt;i&gt;Sustainability&lt;/i&gt; 13, no. 5 (2021): 2.","plainTextFormattedCitation":"Amin Jan et al., “Alignment of Islamic Banking Sustainability Indicators with Sustainable Development Goals: Policy Recommendations for Addressing the COVID-19 Pandemic,” Sustainability 13, no. 5 (2021): 2.","previouslyFormattedCitation":"Amin Jan et al., “Alignment of Islamic Banking Sustainability Indicators with Sustainable Development Goals: Policy Recommendations for Addressing the COVID-19 Pandemic,” &lt;i&gt;Sustainability&lt;/i&gt; 13, no. 5 (2021): 2."},"properties":{"noteIndex":11},"schema":"https://github.com/citation-style-language/schema/raw/master/csl-citation.json"}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Amin Jan et al., “Alignment of Islamic Banking Sustainability Indicators with Sustainable Development Goals: Policy Recommendations for Addressing the COVID-19 Pandemic,” </w:t>
      </w:r>
      <w:r w:rsidRPr="00CB3120">
        <w:rPr>
          <w:rFonts w:ascii="Garamond" w:hAnsi="Garamond"/>
          <w:bCs/>
          <w:i/>
          <w:noProof/>
        </w:rPr>
        <w:t>Sustainability</w:t>
      </w:r>
      <w:r w:rsidRPr="00CB3120">
        <w:rPr>
          <w:rFonts w:ascii="Garamond" w:hAnsi="Garamond"/>
          <w:bCs/>
          <w:noProof/>
        </w:rPr>
        <w:t xml:space="preserve"> 13, no. 5 (2021): 2.</w:t>
      </w:r>
      <w:r w:rsidRPr="00CB3120">
        <w:rPr>
          <w:rFonts w:ascii="Garamond" w:hAnsi="Garamond"/>
        </w:rPr>
        <w:fldChar w:fldCharType="end"/>
      </w:r>
    </w:p>
  </w:footnote>
  <w:footnote w:id="1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{"citationItems":[{"id":"ITEM-1","itemData":{"ISSN":"2460-0717","author":[{"dropping-particle":"","family":"Qoyum","given":"Abdul","non-dropping-particle":"","parse-names":false,"suffix":""}],"container-title":"Tazkia Islamic Finance and Business Review","id":"ITEM-1","issue":"2","issued":{"date-parts":[["2018"]]},"title":"Maqasid Ash-Shari</w:instrText>
      </w:r>
      <w:r w:rsidRPr="00CB3120">
        <w:instrText>ʻ</w:instrText>
      </w:r>
      <w:r w:rsidRPr="00CB3120">
        <w:rPr>
          <w:rFonts w:ascii="Garamond" w:hAnsi="Garamond"/>
        </w:rPr>
        <w:instrText>ah framework and the development of Islamic finance products: The case of Indonesia","type":"article-journal","volume":"12"},"locator":"10","uris":["http://www.mendeley.com/documents/?uuid=5a1d1a7e-d059-4069-8a31-858512f7cb60"]}],"mendeley":{"formattedCitation":"Abdul Qoyum, “Maqasid Ash-Shari</w:instrText>
      </w:r>
      <w:r w:rsidRPr="00CB3120">
        <w:instrText>ʻ</w:instrText>
      </w:r>
      <w:r w:rsidRPr="00CB3120">
        <w:rPr>
          <w:rFonts w:ascii="Garamond" w:hAnsi="Garamond"/>
        </w:rPr>
        <w:instrText>ah Framework and the Development of Islamic Finance Products: The Case of Indonesia,” &lt;i&gt;Tazkia Islamic Finance and Business Review&lt;/i&gt; 12, no. 2 (2018): 10.","plainTextFormattedCitation":"Abdul Qoyum, “Maqasid Ash-Shari</w:instrText>
      </w:r>
      <w:r w:rsidRPr="00CB3120">
        <w:instrText>ʻ</w:instrText>
      </w:r>
      <w:r w:rsidRPr="00CB3120">
        <w:rPr>
          <w:rFonts w:ascii="Garamond" w:hAnsi="Garamond"/>
        </w:rPr>
        <w:instrText>ah Framework and the Development of Islamic Finance Products: The Case of Indonesia,” Tazkia Islamic Finance and Business Review 12, no. 2 (2018): 10.","previouslyFormattedCitation":"Abdul Qoyum, “Maqasid Ash-Shari</w:instrText>
      </w:r>
      <w:r w:rsidRPr="00CB3120">
        <w:instrText>ʻ</w:instrText>
      </w:r>
      <w:r w:rsidRPr="00CB3120">
        <w:rPr>
          <w:rFonts w:ascii="Garamond" w:hAnsi="Garamond"/>
        </w:rPr>
        <w:instrText>ah Framework and the Development of Islamic Finance Products: The Case of Indonesia,” &lt;i&gt;Tazkia Islamic Finance and Business Review&lt;/i&gt; 12, no. 2 (2018): 10."},"properties":{"noteIndex":12},"schema":"https://github.com/citation-style-language/schema/raw/master/csl-citation.json"}</w:instrText>
      </w:r>
      <w:r w:rsidRPr="00CB3120">
        <w:rPr>
          <w:rFonts w:ascii="Garamond" w:hAnsi="Garamond"/>
        </w:rPr>
        <w:fldChar w:fldCharType="separate"/>
      </w:r>
      <w:r w:rsidRPr="00CB3120">
        <w:rPr>
          <w:rFonts w:ascii="Garamond" w:hAnsi="Garamond"/>
          <w:bCs/>
          <w:noProof/>
        </w:rPr>
        <w:t>Abdul Qoyum, “Maqasid Ash-Shari</w:t>
      </w:r>
      <w:r w:rsidRPr="00CB3120">
        <w:rPr>
          <w:bCs/>
          <w:noProof/>
        </w:rPr>
        <w:t>ʻ</w:t>
      </w:r>
      <w:r w:rsidRPr="00CB3120">
        <w:rPr>
          <w:rFonts w:ascii="Garamond" w:hAnsi="Garamond"/>
          <w:bCs/>
          <w:noProof/>
        </w:rPr>
        <w:t xml:space="preserve">ah Framework and the Development of Islamic Finance Products: The Case of Indonesia,” </w:t>
      </w:r>
      <w:r w:rsidRPr="00CB3120">
        <w:rPr>
          <w:rFonts w:ascii="Garamond" w:hAnsi="Garamond"/>
          <w:bCs/>
          <w:i/>
          <w:noProof/>
        </w:rPr>
        <w:t>Tazkia Islamic Finance and Business Review</w:t>
      </w:r>
      <w:r w:rsidRPr="00CB3120">
        <w:rPr>
          <w:rFonts w:ascii="Garamond" w:hAnsi="Garamond"/>
          <w:bCs/>
          <w:noProof/>
        </w:rPr>
        <w:t xml:space="preserve"> 12, no. 2 (2018): 10.</w:t>
      </w:r>
      <w:r w:rsidRPr="00CB3120">
        <w:rPr>
          <w:rFonts w:ascii="Garamond" w:hAnsi="Garamond"/>
        </w:rPr>
        <w:fldChar w:fldCharType="end"/>
      </w:r>
    </w:p>
  </w:footnote>
  <w:footnote w:id="1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{"citationItems":[{"id":"ITEM-1","itemData":{"DOI":"10.21580/at.v12i1.6093","ISSN":"1979-4703","abstract":"&lt;div&gt;&lt;table cellspacing=\"0\" cellpadding=\"0\" align=\"right\"&gt;&lt;tbody&gt;&lt;tr&gt;&lt;td align=\"left\" valign=\"top\"&gt;&lt;p&gt;Corona Virus Desease 19 (Covid-19) is a pandemic that has spread to almost all countries, including Indonesia. As a result, impacts to various types of sectors are not only health, but also the banking system. The purpose of this study to analyze the CAR, NPF, FDR, ROA and inflation on the profitability of Islamic banking days of the pandemic Covid-19. This research method is quantitative descriptive using secondary data for the first quarter of 2020 obtained from the official pages of each bank and inflation data from the Central Statistics Agency (BPS) page. Purposive sampling selected in this study were that the total sample of 11 Islamic Banks. Statistical test results show simultaneously CAR, FDR, NPF, BOPO and Inflation have an impact on ROA even during the Covid-19 pandemic. This finding has practical implications for customers that make it possible to continue using Islamic banking services.&lt;/p&gt;&lt;/td&gt;&lt;/tr&gt;&lt;/tbody&gt;&lt;/table&gt;&lt;/div&gt;","author":[{"dropping-particle":"","family":"Wahyudi","given":"Rofiul","non-dropping-particle":"","parse-names":false,"suffix":""}],"container-title":"At-Taqaddum","id":"ITEM-1","issue":"1","issued":{"date-parts":[["2020"]]},"page":"13","title":"Analisis Pengaruh CAR, NPF, FDR, BOPO dan Inflasi terhadap Profitabilitas Perbankan Syariah di Indonesia: Studi Masa Pandemi Covid-19","type":"article-journal","volume":"12"},"uris":["http://www.mendeley.com/documents/?uuid=7f49d6b3-e064-4d17-b8b2-50ebf79d89b5","http://www.mendeley.com/documents/?uuid=5e617034-f0a4-47be-9fa0-b84614d20a9f"]}],"mendeley":{"formattedCitation":"Rofiul Wahyudi, “Analisis Pengaruh CAR, NPF, FDR, BOPO Dan Inflasi Terhadap Profitabilitas Perbankan Syariah Di Indonesia: Studi Masa Pandemi Covid-19,” &lt;i&gt;At-Taqaddum&lt;/i&gt; 12, no. 1 (2020): 13, https://doi.org/10.21580/at.v12i1.6093.","plainTextFormattedCitation":"Rofiul Wahyudi, “Analisis Pengaruh CAR, NPF, FDR, BOPO Dan Inflasi Terhadap Profitabilitas Perbankan Syariah Di Indonesia: Studi Masa Pandemi Covid-19,” At-Taqaddum 12, no. 1 (2020): 13, https://doi.org/10.21580/at.v12i1.6093.","previouslyFormattedCitation":"Rofiul Wahyudi, “Analisis Pengaruh CAR, NPF, FDR, BOPO Dan Inflasi Terhadap Profitabilitas Perbankan Syariah Di Indonesia: Studi Masa Pandemi Covid-19,” &lt;i&gt;At-Taqaddum&lt;/i&gt; 12, no. 1 (2020): 13, https://doi.org/10.21580/at.v12i1.6093."},"properties":{"noteIndex":13},"schema":"https://github.com/citation-style-language/schema/raw/master/csl-citation.json"}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Rofiul Wahyudi, “Analisis Pengaruh CAR, NPF, FDR, BOPO Dan Inflasi Terhadap Profitabilitas Perbankan Syariah Di Indonesia: Studi Masa Pandemi Covid-19,” </w:t>
      </w:r>
      <w:r w:rsidRPr="00CB3120">
        <w:rPr>
          <w:rFonts w:ascii="Garamond" w:hAnsi="Garamond"/>
          <w:i/>
          <w:noProof/>
        </w:rPr>
        <w:t>At-Taqaddum</w:t>
      </w:r>
      <w:r w:rsidRPr="00CB3120">
        <w:rPr>
          <w:rFonts w:ascii="Garamond" w:hAnsi="Garamond"/>
          <w:noProof/>
        </w:rPr>
        <w:t xml:space="preserve"> 12, no. 1 (2020): 13, https://doi.org/10.21580/at.v12i1.6093.</w:t>
      </w:r>
      <w:r w:rsidRPr="00CB3120">
        <w:rPr>
          <w:rFonts w:ascii="Garamond" w:hAnsi="Garamond"/>
        </w:rPr>
        <w:fldChar w:fldCharType="end"/>
      </w:r>
    </w:p>
  </w:footnote>
  <w:footnote w:id="1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{"citationItems":[{"id":"ITEM-1","itemData":{"author":[{"dropping-particle":"","family":"Anggraini","given":"Rina","non-dropping-particle":"","parse-names":false,"suffix":""}],"id":"ITEM-1","issue":"November","issued":{"date-parts":[["2020"]]},"page":"80-97","title":"KEBIJAKAN MONETER SEBAGAI UPAYA PENYELAMATAN PEREKONOMIAN DITENGAH PANDEMI Corona Virus Disease-19","type":"article-journal","volume":"1"},"uris":["http://www.mendeley.com/documents/?uuid=f7c9ff43-8790-4f01-a3c8-a7a77f3275c0","http://www.mendeley.com/documents/?uuid=2372fead-6282-4e9d-8790-8332e75ec976"]}],"mendeley":{"formattedCitation":"Rina Anggraini, “KEBIJAKAN MONETER SEBAGAI UPAYA PENYELAMATAN PEREKONOMIAN DITENGAH PANDEMI Corona Virus Disease-19” 1, no. November (2020): 80–97.","plainTextFormattedCitation":"Rina Anggraini, “KEBIJAKAN MONETER SEBAGAI UPAYA PENYELAMATAN PEREKONOMIAN DITENGAH PANDEMI Corona Virus Disease-19” 1, no. November (2020): 80–97.","previouslyFormattedCitation":"Rina Anggraini, “KEBIJAKAN MONETER SEBAGAI UPAYA PENYELAMATAN PEREKONOMIAN DITENGAH PANDEMI Corona Virus Disease-19” 1, no. November (2020): 80–97."},"properties":{"noteIndex":14},"schema":"https://github.com/citation-style-language/schema/raw/master/csl-citation.json"}</w:instrText>
      </w:r>
      <w:r w:rsidRPr="00CB3120">
        <w:rPr>
          <w:rFonts w:ascii="Garamond" w:hAnsi="Garamond"/>
        </w:rPr>
        <w:fldChar w:fldCharType="separate"/>
      </w:r>
      <w:r w:rsidRPr="00CB3120">
        <w:rPr>
          <w:rFonts w:ascii="Garamond" w:hAnsi="Garamond"/>
          <w:noProof/>
        </w:rPr>
        <w:t>rina Anggraini, “Kebijakan Moneter Sebagai Upaya Penyelamatan Perekonomian Ditengah Pandemi Corona Virus Disease-19” 1, no. November (2020): 80–97.</w:t>
      </w:r>
      <w:r w:rsidRPr="00CB3120">
        <w:rPr>
          <w:rFonts w:ascii="Garamond" w:hAnsi="Garamond"/>
        </w:rPr>
        <w:fldChar w:fldCharType="end"/>
      </w:r>
    </w:p>
  </w:footnote>
  <w:footnote w:id="15">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{"citationItems":[{"id":"ITEM-1","itemData":{"ISSN":"2288-4637","author":[{"dropping-particle":"","family":"RYANDONO","given":"Muhamad Nafik Hadi","non-dropping-particle":"","parse-names":false,"suffix":""},{"dropping-particle":"","family":"MUAFI","given":"Muafi","non-dropping-particle":"","parse-names":false,"suffix":""},{"dropping-particle":"","family":"GURITNO","given":"Agung","non-dropping-particle":"","parse-names":false,"suffix":""}],"container-title":"The Journal of Asian Finance, Economics, and Business","id":"ITEM-1","issue":"2","issued":{"date-parts":[["2021"]]},"page":"697-710","publisher":"Korea Distribution Science Association","title":"Sharia Stock Reaction Against COVID-19 Pandemic: Evidence from Indonesian Capital Markets","type":"article-journal","volume":"8"},"locator":"709","uris":["http://www.mendeley.com/documents/?uuid=3ea48320-9851-4533-ab5b-5f889644dce5"]}],"mendeley":{"formattedCitation":"Muhamad Nafik Hadi RYANDONO, Muafi MUAFI, and Agung GURITNO, “Sharia Stock Reaction Against COVID-19 Pandemic: Evidence from Indonesian Capital Markets,” &lt;i&gt;The Journal of Asian Finance, Economics, and Business&lt;/i&gt; 8, no. 2 (2021): 709.","plainTextFormattedCitation":"Muhamad Nafik Hadi RYANDONO, Muafi MUAFI, and Agung GURITNO, “Sharia Stock Reaction Against COVID-19 Pandemic: Evidence from Indonesian Capital Markets,” The Journal of Asian Finance, Economics, and Business 8, no. 2 (2021): 709.","previouslyFormattedCitation":"Muhamad Nafik Hadi RYANDONO, Muafi MUAFI, and Agung GURITNO, “Sharia Stock Reaction Against COVID-19 Pandemic: Evidence from Indonesian Capital Markets,” &lt;i&gt;The Journal of Asian Finance, Economics, and Business&lt;/i&gt; 8, no. 2 (2021): 709."},"properties":{"noteIndex":15},"schema":"https://github.com/citation-style-language/schema/raw/master/csl-citation.json"}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Muhamad Nafik Hadi RYANDONO, Muafi MUAFI, and Agung GURITNO, “Sharia Stock Reaction Against COVID-19 Pandemic: Evidence from Indonesian Capital Markets,” </w:t>
      </w:r>
      <w:r w:rsidRPr="00CB3120">
        <w:rPr>
          <w:rFonts w:ascii="Garamond" w:hAnsi="Garamond"/>
          <w:i/>
          <w:noProof/>
        </w:rPr>
        <w:t>The Journal of Asian Finance, Economics, and Business</w:t>
      </w:r>
      <w:r w:rsidRPr="00CB3120">
        <w:rPr>
          <w:rFonts w:ascii="Garamond" w:hAnsi="Garamond"/>
          <w:noProof/>
        </w:rPr>
        <w:t xml:space="preserve"> 8, no. 2 (2021): 709.</w:t>
      </w:r>
      <w:r w:rsidRPr="00CB3120">
        <w:rPr>
          <w:rFonts w:ascii="Garamond" w:hAnsi="Garamond"/>
        </w:rPr>
        <w:fldChar w:fldCharType="end"/>
      </w:r>
    </w:p>
  </w:footnote>
  <w:footnote w:id="1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{"citationItems":[{"id":"ITEM-1","itemData":{"DOI":"10.46918/point.v2i1.576","ISSN":"2656-775X","abstract":"Ministry of Health data shows the total confirmed cases of COVID-19 in Indonesia is 9,771 cases with a total of 784 deaths. Jakarta and West Java provinces are the regions with the highest number of Covid-19 cases. This is a challenge for the business world, including Sharia Banks, which based on Sharia banking Statistics data show that Jakarta is the region with the largest number of Sharia Bank branch offices in Indonesia. This study is a comparative analysis which aims to determine the impact of the Covid-19 pandemic on the banking industry on the side of the management of the Bank's operational strategies and Bank Intermediation Activities. The study used a sample of 5 Islamic Commercial Banks. The research sample was selected using purposive sampling technique. The results showed that in December to March 2020 all banks experienced turmoil in the intermediation function which tended to decline both from funding and fund raising. Meanwhile, in terms of Sharia Bank Strategy Management implementing a variety of policies including service restrictions through face-to-face, providing restructuring policies to affected customers and utilizing digital applications.\r Keywords: Covid-19, Islamic Banking Industry, Management","author":[{"dropping-particle":"","family":"Ningsih","given":"Mardhiyatur Rosita","non-dropping-particle":"","parse-names":false,"suffix":""},{"dropping-particle":"","family":"Mahfudz","given":"Muhammad Syarqim","non-dropping-particle":"","parse-names":false,"suffix":""}],"container-title":"Point","id":"ITEM-1","issue":"1","issued":{"date-parts":[["2020"]]},"page":"1-10","title":"Dampak Pandemi Covid-19 Terhadap Manajemen Industri Perbankan Syariah: Analisis Komparatif","type":"article-journal","volume":"2"},"uris":["http://www.mendeley.com/documents/?uuid=27d12214-3f55-4d7a-812d-342cdd46d9e9","http://www.mendeley.com/documents/?uuid=a0dd3403-78ac-40c8-b266-345edd88c63c"]}],"mendeley":{"formattedCitation":"Mardhiyatur Rosita Ningsih and Muhammad Syarqim Mahfudz, “Dampak Pandemi Covid-19 Terhadap Manajemen Industri Perbankan Syariah: Analisis Komparatif,” &lt;i&gt;Point&lt;/i&gt; 2, no. 1 (2020): 1–10, https://doi.org/10.46918/point.v2i1.576.","plainTextFormattedCitation":"Mardhiyatur Rosita Ningsih and Muhammad Syarqim Mahfudz, “Dampak Pandemi Covid-19 Terhadap Manajemen Industri Perbankan Syariah: Analisis Komparatif,” Point 2, no. 1 (2020): 1–10, https://doi.org/10.46918/point.v2i1.576.","previouslyFormattedCitation":"Mardhiyatur Rosita Ningsih and Muhammad Syarqim Mahfudz, “Dampak Pandemi Covid-19 Terhadap Manajemen Industri Perbankan Syariah: Analisis Komparatif,” &lt;i&gt;Point&lt;/i&gt; 2, no. 1 (2020): 1–10, https://doi.org/10.46918/point.v2i1.576."},"properties":{"noteIndex":16},"schema":"https://github.com/citation-style-language/schema/raw/master/csl-citation.json"}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Mardhiyatur Rosita Ningsih and Muhammad Syarqim Mahfudz, “Dampak Pandemi Covid-19 Terhadap Manajemen Industri Perbankan Syariah: Analisis Komparatif,” </w:t>
      </w:r>
      <w:r w:rsidRPr="00CB3120">
        <w:rPr>
          <w:rFonts w:ascii="Garamond" w:hAnsi="Garamond"/>
          <w:i/>
          <w:noProof/>
        </w:rPr>
        <w:t>Point</w:t>
      </w:r>
      <w:r w:rsidRPr="00CB3120">
        <w:rPr>
          <w:rFonts w:ascii="Garamond" w:hAnsi="Garamond"/>
          <w:noProof/>
        </w:rPr>
        <w:t xml:space="preserve"> 2, no. 1 (2020): 1–10, https://doi.org/10.46918/point.v2i1.576.</w:t>
      </w:r>
      <w:r w:rsidRPr="00CB3120">
        <w:rPr>
          <w:rFonts w:ascii="Garamond" w:hAnsi="Garamond"/>
        </w:rPr>
        <w:fldChar w:fldCharType="end"/>
      </w:r>
    </w:p>
  </w:footnote>
  <w:footnote w:id="1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{"citationItems":[{"id":"ITEM-1","itemData":{"ISSN":"7383-1018","author":[{"dropping-particle":"","family":"Benamraoui","given":"A","non-dropping-particle":"","parse-names":false,"suffix":""}],"container-title":"Journal of King Abdulaziz University: Islamic Economics","id":"ITEM-1","issue":"1","issued":{"date-parts":[["2021"]]},"page":"67-78","publisher":"Islamic Economics Institute","title":"The World Economy and Islamic Economics in the Time of COVID-19","type":"article-journal","volume":"34"},"locator":"67","uris":["http://www.mendeley.com/documents/?uuid=919b0032-ab67-4152-85ad-6b8c697377ad"]}],"mendeley":{"formattedCitation":"A Benamraoui, “The World Economy and Islamic Economics in the Time of COVID-19,” &lt;i&gt;Journal of King Abdulaziz University: Islamic Economics&lt;/i&gt; 34, no. 1 (2021): 67.","plainTextFormattedCitation":"A Benamraoui, “The World Economy and Islamic Economics in the Time of COVID-19,” Journal of King Abdulaziz University: Islamic Economics 34, no. 1 (2021): 67.","previouslyFormattedCitation":"A Benamraoui, “The World Economy and Islamic Economics in the Time of COVID-19,” &lt;i&gt;Journal of King Abdulaziz University: Islamic Economics&lt;/i&gt; 34, no. 1 (2021): 67."},"properties":{"noteIndex":17},"schema":"https://github.com/citation-style-language/schema/raw/master/csl-citation.json"}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A Benamraoui, “The World Economy and Islamic Economics in the Time of COVID-19,” </w:t>
      </w:r>
      <w:r w:rsidRPr="00CB3120">
        <w:rPr>
          <w:rFonts w:ascii="Garamond" w:hAnsi="Garamond"/>
          <w:bCs/>
          <w:i/>
          <w:noProof/>
        </w:rPr>
        <w:t>Journal of King Abdulaziz University: Islamic Economics</w:t>
      </w:r>
      <w:r w:rsidRPr="00CB3120">
        <w:rPr>
          <w:rFonts w:ascii="Garamond" w:hAnsi="Garamond"/>
          <w:bCs/>
          <w:noProof/>
        </w:rPr>
        <w:t xml:space="preserve"> 34, no. 1 (2021): 67.</w:t>
      </w:r>
      <w:r w:rsidRPr="00CB3120">
        <w:rPr>
          <w:rFonts w:ascii="Garamond" w:hAnsi="Garamond"/>
        </w:rPr>
        <w:fldChar w:fldCharType="end"/>
      </w:r>
    </w:p>
  </w:footnote>
  <w:footnote w:id="1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{"citationItems":[{"id":"ITEM-1","itemData":{"ISSN":"2654-4970","author":[{"dropping-particle":"","family":"Ropei","given":"Ahmad","non-dropping-particle":"","parse-names":false,"suffix":""}],"container-title":"Jurnal Hukum Ekonomi Syariah","id":"ITEM-1","issue":"02","issued":{"date-parts":[["2020"]]},"page":"165-179","title":"Formulasi Hukum Perlindungan Hak Kekayaan Intelektual Dalam Kerangka Maqoshid As-Syari’ah","type":"article-journal","volume":"4"},"locator":"171","uris":["http://www.mendeley.com/documents/?uuid=7a6d1d6f-23a1-40b1-a487-a2a4a4922aef"]}],"mendeley":{"formattedCitation":"Ahmad Ropei, “Formulasi Hukum Perlindungan Hak Kekayaan Intelektual Dalam Kerangka Maqoshid As-Syari’ah,” &lt;i&gt;Jurnal Hukum Ekonomi Syariah&lt;/i&gt; 4, no. 02 (2020): 171.","plainTextFormattedCitation":"Ahmad Ropei, “Formulasi Hukum Perlindungan Hak Kekayaan Intelektual Dalam Kerangka Maqoshid As-Syari’ah,” Jurnal Hukum Ekonomi Syariah 4, no. 02 (2020): 171.","previouslyFormattedCitation":"Ahmad Ropei, “Formulasi Hukum Perlindungan Hak Kekayaan Intelektual Dalam Kerangka Maqoshid As-Syari’ah,” &lt;i&gt;Jurnal Hukum Ekonomi Syariah&lt;/i&gt; 4, no. 02 (2020): 171."},"properties":{"noteIndex":18},"schema":"https://github.com/citation-style-language/schema/raw/master/csl-citation.json"}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Ahmad Ropei, “Formulasi Hukum Perlindungan Hak Kekayaan Intelektual Dalam Kerangka Maqoshid As-Syari’ah,” </w:t>
      </w:r>
      <w:r w:rsidRPr="00CB3120">
        <w:rPr>
          <w:rFonts w:ascii="Garamond" w:hAnsi="Garamond"/>
          <w:i/>
          <w:noProof/>
        </w:rPr>
        <w:t>Jurnal Hukum Ekonomi Syariah</w:t>
      </w:r>
      <w:r w:rsidRPr="00CB3120">
        <w:rPr>
          <w:rFonts w:ascii="Garamond" w:hAnsi="Garamond"/>
          <w:noProof/>
        </w:rPr>
        <w:t xml:space="preserve"> 4, no. 02 (2020): 171.</w:t>
      </w:r>
      <w:r w:rsidRPr="00CB3120">
        <w:rPr>
          <w:rFonts w:ascii="Garamond" w:hAnsi="Garamond"/>
        </w:rPr>
        <w:fldChar w:fldCharType="end"/>
      </w:r>
    </w:p>
  </w:footnote>
  <w:footnote w:id="1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{"citationItems":[{"id":"ITEM-1","itemData":{"URL":"www.bi.go.id","author":[{"dropping-particle":"","family":"BI","given":"","non-dropping-particle":"","parse-names":false,"suffix":""}],"container-title":"www. bi.go.id.","id":"ITEM-1","issued":{"date-parts":[["2011"]]},"title":"Peraturan Bank Indonesia ( PBI), No 13/23/PBI/2011","type":"webpage"},"uris":["http://www.mendeley.com/documents/?uuid=57f6f9eb-47ca-4a1f-a43e-3b046a14364b"]}],"mendeley":{"formattedCitation":"BI, “Peraturan Bank Indonesia ( PBI), No 13/23/PBI/2011,” www. bi.go.id., 2011, www.bi.go.id.","manualFormatting":"BI 2011)","plainTextFormattedCitation":"BI, “Peraturan Bank Indonesia ( PBI), No 13/23/PBI/2011,” www. bi.go.id., 2011, www.bi.go.id.","previouslyFormattedCitation":"(BI 2011)"},"properties":{"noteIndex":19},"schema":"https://github.com/citation-style-language/schema/raw/master/csl-citation.json"}</w:instrText>
      </w:r>
      <w:r w:rsidRPr="00CB3120">
        <w:rPr>
          <w:rFonts w:ascii="Garamond" w:hAnsi="Garamond"/>
        </w:rPr>
        <w:fldChar w:fldCharType="separate"/>
      </w:r>
      <w:r w:rsidRPr="00CB3120">
        <w:rPr>
          <w:rFonts w:ascii="Garamond" w:hAnsi="Garamond"/>
          <w:noProof/>
        </w:rPr>
        <w:t>BI 2011)</w:t>
      </w:r>
      <w:r w:rsidRPr="00CB3120">
        <w:rPr>
          <w:rFonts w:ascii="Garamond" w:hAnsi="Garamond"/>
        </w:rPr>
        <w:fldChar w:fldCharType="end"/>
      </w:r>
    </w:p>
  </w:footnote>
  <w:footnote w:id="2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{"citationItems":[{"id":"ITEM-1","itemData":{"ISBN":"978-623-6747-39-1","author":[{"dropping-particle":"","family":"Adawiyah","given":"Endah Robiatul","non-dropping-particle":"","parse-names":false,"suffix":""}],"container-title":"Manajemen Bisnis Kontemporer: Prinsip Dasar dan Aplikasi","edition":"1","editor":[{"dropping-particle":"","family":"GCaido","given":"","non-dropping-particle":"","parse-names":false,"suffix":""}],"id":"ITEM-1","issued":{"date-parts":[["2020"]]},"page":"59-68","publisher":"Diandra Kreatif/Mirra Buana Media","publisher-place":"Yogyakarta","title":"Konsep Dasar Pembiayaan dalam Bisnis","type":"chapter"},"locator":"62","uris":["http://www.mendeley.com/documents/?uuid=3e406a34-9721-409f-816f-187a79f90ddd"]}],"mendeley":{"formattedCitation":"Endah Robiatul Adawiyah, “Konsep Dasar Pembiayaan Dalam Bisnis,” in &lt;i&gt;Manajemen Bisnis Kontemporer: Prinsip Dasar Dan Aplikasi&lt;/i&gt;, ed. GCaido, 1st ed. (Yogyakarta: Diandra Kreatif/Mirra Buana Media, 2020), 62, file:///C:/Users/asus/Desktop/Documents/izasah ku/buku-buku/eChapter_Endah Robiatul Adawiyah.pdf.","manualFormatting":"(Adawiyah 2020, 62)","plainTextFormattedCitation":"Endah Robiatul Adawiyah, “Konsep Dasar Pembiayaan Dalam Bisnis,” in Manajemen Bisnis Kontemporer: Prinsip Dasar Dan Aplikasi, ed. GCaido, 1st ed. (Yogyakarta: Diandra Kreatif/Mirra Buana Media, 2020), 62, file:///C:/Users/asus/Desktop/Documents/izasah ku/buku-buku/eChapter_Endah Robiatul Adawiyah.pdf.","previouslyFormattedCitation":"(Adawiyah 2020b, 62)"},"properties":{"noteIndex":20},"schema":"https://github.com/citation-style-language/schema/raw/master/csl-citation.json"}</w:instrText>
      </w:r>
      <w:r w:rsidRPr="00CB3120">
        <w:rPr>
          <w:rFonts w:ascii="Garamond" w:hAnsi="Garamond"/>
        </w:rPr>
        <w:fldChar w:fldCharType="separate"/>
      </w:r>
      <w:r w:rsidRPr="00CB3120">
        <w:rPr>
          <w:rFonts w:ascii="Garamond" w:hAnsi="Garamond"/>
          <w:noProof/>
        </w:rPr>
        <w:t>(Adawiyah 2020, 62)</w:t>
      </w:r>
      <w:r w:rsidRPr="00CB3120">
        <w:rPr>
          <w:rFonts w:ascii="Garamond" w:hAnsi="Garamond"/>
        </w:rPr>
        <w:fldChar w:fldCharType="end"/>
      </w:r>
    </w:p>
  </w:footnote>
  <w:footnote w:id="2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{"citationItems":[{"id":"ITEM-1","itemData":{"ISSN":"2597-9434","author":[{"dropping-particle":"","family":"Adawiyah","given":"Endah Robiatul","non-dropping-particle":"","parse-names":false,"suffix":""}],"container-title":"PROFIT: Jurnal Kajian Ekonomi dan Perbankan Syariah","id":"ITEM-1","issue":"1","issued":{"date-parts":[["2020"]]},"title":"KOLABORASI LEMBAGA KEUANGAN, PEMERINTAH DAN PERUSAHAAN DALAM MENINGKATKAN PERAN KOPERASI KARYAWAN INDUSTRI SEBAGAI ALTERNATIF SOLUSI DALAM PEMBANGUNAN SEKTOR EKONOMI INDONESIA","type":"article-journal","volume":"4"},"locator":"35","uris":["http://www.mendeley.com/documents/?uuid=d401e376-fd41-461d-9e5b-9b04d60fdd4b"]}],"mendeley":{"formattedCitation":"Endah Robiatul Adawiyah, “KOLABORASI LEMBAGA KEUANGAN, PEMERINTAH DAN PERUSAHAAN DALAM MENINGKATKAN PERAN KOPERASI KARYAWAN INDUSTRI SEBAGAI ALTERNATIF SOLUSI DALAM PEMBANGUNAN SEKTOR EKONOMI INDONESIA,” &lt;i&gt;PROFIT: Jurnal Kajian Ekonomi Dan Perbankan Syariah&lt;/i&gt; 4, no. 1 (2020): 35.","plainTextFormattedCitation":"Endah Robiatul Adawiyah, “KOLABORASI LEMBAGA KEUANGAN, PEMERINTAH DAN PERUSAHAAN DALAM MENINGKATKAN PERAN KOPERASI KARYAWAN INDUSTRI SEBAGAI ALTERNATIF SOLUSI DALAM PEMBANGUNAN SEKTOR EKONOMI INDONESIA,” PROFIT: Jurnal Kajian Ekonomi Dan Perbankan Syariah 4, no. 1 (2020): 35.","previouslyFormattedCitation":"(Adawiyah 2020a, 35)"},"properties":{"noteIndex":21},"schema":"https://github.com/citation-style-language/schema/raw/master/csl-citation.json"}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Endah Robiatul Adawiyah, “Kolaborasi Lembaga Keuangan, Pemerintah Dan Perusahaan Dalam Meningkatkan Peran Koperasi Karyawan Industri Sebagai Alternatif Solusi Dalam Pembangunan Sektor Ekonomi Indonesia,” </w:t>
      </w:r>
      <w:r w:rsidRPr="00CB3120">
        <w:rPr>
          <w:rFonts w:ascii="Garamond" w:hAnsi="Garamond"/>
          <w:bCs/>
          <w:i/>
          <w:noProof/>
        </w:rPr>
        <w:t>Profit: Jurnal Kajian Ekonomi Dan Perbankan Syariah</w:t>
      </w:r>
      <w:r w:rsidRPr="00CB3120">
        <w:rPr>
          <w:rFonts w:ascii="Garamond" w:hAnsi="Garamond"/>
          <w:bCs/>
          <w:noProof/>
        </w:rPr>
        <w:t xml:space="preserve"> 4, no. 1 (2020): 35.</w:t>
      </w:r>
      <w:r w:rsidRPr="00CB3120">
        <w:rPr>
          <w:rFonts w:ascii="Garamond" w:hAnsi="Garamond"/>
        </w:rPr>
        <w:fldChar w:fldCharType="end"/>
      </w:r>
    </w:p>
  </w:footnote>
  <w:footnote w:id="2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{"citationItems":[{"id":"ITEM-1","itemData":{"ISSN":"2527-8304","author":[{"dropping-particle":"","family":"Junjunan","given":"Mochammad Ilyas","non-dropping-particle":"","parse-names":false,"suffix":""},{"dropping-particle":"","family":"Nawangsari","given":"Ajeng Tita","non-dropping-particle":"","parse-names":false,"suffix":""},{"dropping-particle":"","family":"Melania","given":"Arta Agustin","non-dropping-particle":"","parse-names":false,"suffix":""},{"dropping-particle":"","family":"Putikadyanto","given":"Agus Purnomo Ahmad","non-dropping-particle":"","parse-names":false,"suffix":""}],"container-title":"Muqtasid: Jurnal Ekonomi dan Perbankan Syariah","id":"ITEM-1","issue":"2","issued":{"date-parts":[["2021"]]},"page":"75-88","title":"A Comparative Study on Financial Performance between Islamic and Conventional Banking in Indonesia During the COVID-19 Pandemic","type":"article-journal","volume":"12"},"locator":"82","uris":["http://www.mendeley.com/documents/?uuid=2a06137e-73ce-4d30-9ccb-efa5c1d14eae"]}],"mendeley":{"formattedCitation":"Mochammad Ilyas Junjunan et al., “A Comparative Study on Financial Performance between Islamic and Conventional Banking in Indonesia During the COVID-19 Pandemic,” &lt;i&gt;Muqtasid: Jurnal Ekonomi Dan Perbankan Syariah&lt;/i&gt; 12, no. 2 (2021): 82.","plainTextFormattedCitation":"Mochammad Ilyas Junjunan et al., “A Comparative Study on Financial Performance between Islamic and Conventional Banking in Indonesia During the COVID-19 Pandemic,” Muqtasid: Jurnal Ekonomi Dan Perbankan Syariah 12, no. 2 (2021): 82.","previouslyFormattedCitation":"(Junjunan et al. 2021, 82)"},"properties":{"noteIndex":22},"schema":"https://github.com/citation-style-language/schema/raw/master/csl-citation.json"}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Mochammad Ilyas Junjunan et al., “A Comparative Study on Financial Performance between Islamic and Conventional Banking in Indonesia During the COVID-19 Pandemic,” </w:t>
      </w:r>
      <w:r w:rsidRPr="00CB3120">
        <w:rPr>
          <w:rFonts w:ascii="Garamond" w:hAnsi="Garamond"/>
          <w:bCs/>
          <w:i/>
          <w:noProof/>
        </w:rPr>
        <w:t>Muqtasid: Jurnal Ekonomi Dan Perbankan Syariah</w:t>
      </w:r>
      <w:r w:rsidRPr="00CB3120">
        <w:rPr>
          <w:rFonts w:ascii="Garamond" w:hAnsi="Garamond"/>
          <w:bCs/>
          <w:noProof/>
        </w:rPr>
        <w:t xml:space="preserve"> 12, no. 2 (2021): 82.</w:t>
      </w:r>
      <w:r w:rsidRPr="00CB3120">
        <w:rPr>
          <w:rFonts w:ascii="Garamond" w:hAnsi="Garamond"/>
        </w:rPr>
        <w:fldChar w:fldCharType="end"/>
      </w:r>
    </w:p>
  </w:footnote>
  <w:footnote w:id="2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{"citationItems":[{"id":"ITEM-1","itemData":{"ISSN":"1753-8394","author":[{"dropping-particle":"","family":"Abdullah","given":"Mohammad","non-dropping-particle":"","parse-names":false,"suffix":""}],"container-title":"International Journal of Islamic and Middle Eastern Finance and Management","id":"ITEM-1","issued":{"date-parts":[["2015"]]},"publisher":"Emerald Group Publishing Limited","title":"Analysing the moral aspect of qard: a shariah perspective","type":"article-journal"},"uris":["http://www.mendeley.com/documents/?uuid=59e05ca3-a1da-4b4e-88e7-fd447a861400"]}],"mendeley":{"formattedCitation":"Mohammad Abdullah, “Analysing the Moral Aspect of Qard: A Shariah Perspective,” &lt;i&gt;International Journal of Islamic and Middle Eastern Finance and Management&lt;/i&gt;, 2015.","plainTextFormattedCitation":"Mohammad Abdullah, “Analysing the Moral Aspect of Qard: A Shariah Perspective,” International Journal of Islamic and Middle Eastern Finance and Management, 2015.","previouslyFormattedCitation":"(Abdullah 2015)"},"properties":{"noteIndex":23},"schema":"https://github.com/citation-style-language/schema/raw/master/csl-citation.json"}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Mohammad Abdullah, “Analysing the Moral Aspect of Qard: A Shariah Perspective,” </w:t>
      </w:r>
      <w:r w:rsidRPr="00CB3120">
        <w:rPr>
          <w:rFonts w:ascii="Garamond" w:hAnsi="Garamond"/>
          <w:i/>
          <w:noProof/>
        </w:rPr>
        <w:t>International Journal of Islamic and Middle Eastern Finance and Management</w:t>
      </w:r>
      <w:r w:rsidRPr="00CB3120">
        <w:rPr>
          <w:rFonts w:ascii="Garamond" w:hAnsi="Garamond"/>
          <w:noProof/>
        </w:rPr>
        <w:t>, 2015.</w:t>
      </w:r>
      <w:r w:rsidRPr="00CB3120">
        <w:rPr>
          <w:rFonts w:ascii="Garamond" w:hAnsi="Garamond"/>
        </w:rPr>
        <w:fldChar w:fldCharType="end"/>
      </w:r>
    </w:p>
  </w:footnote>
  <w:footnote w:id="2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{"citationItems":[{"id":"ITEM-1","itemData":{"ISSN":"2654-8569","author":[{"dropping-particle":"","family":"Putra","given":"Rosyid Nur Anggara","non-dropping-particle":"","parse-names":false,"suffix":""}],"container-title":"MALIA: Journal of Islamic Banking and Finance","id":"ITEM-1","issue":"1","issued":{"date-parts":[["2019"]]},"page":"1-16","title":"Karakteristik Pembiayaan Dan Non Performing Finance Perbankan Syariah 2015–2018","type":"article-journal","volume":"3"},"locator":"1","uris":["http://www.mendeley.com/documents/?uuid=dc066b3d-8ffa-417d-8c6e-0c2b1d4ab732"]}],"mendeley":{"formattedCitation":"Rosyid Nur Anggara Putra, “Karakteristik Pembiayaan Dan Non Performing Finance Perbankan Syariah 2015–2018,” &lt;i&gt;MALIA: Journal of Islamic Banking and Finance&lt;/i&gt; 3, no. 1 (2019): 1.","plainTextFormattedCitation":"Rosyid Nur Anggara Putra, “Karakteristik Pembiayaan Dan Non Performing Finance Perbankan Syariah 2015–2018,” MALIA: Journal of Islamic Banking and Finance 3, no. 1 (2019): 1.","previouslyFormattedCitation":"(Putra 2019, 1)"},"properties":{"noteIndex":24},"schema":"https://github.com/citation-style-language/schema/raw/master/csl-citation.json"}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Rosyid Nur Anggara Putra, “Karakteristik Pembiayaan Dan Non Performing Finance Perbankan Syariah 2015–2018,” </w:t>
      </w:r>
      <w:r w:rsidRPr="00CB3120">
        <w:rPr>
          <w:rFonts w:ascii="Garamond" w:hAnsi="Garamond"/>
          <w:bCs/>
          <w:i/>
          <w:noProof/>
        </w:rPr>
        <w:t>MALIA: Journal of Islamic Banking and Finance</w:t>
      </w:r>
      <w:r w:rsidRPr="00CB3120">
        <w:rPr>
          <w:rFonts w:ascii="Garamond" w:hAnsi="Garamond"/>
          <w:bCs/>
          <w:noProof/>
        </w:rPr>
        <w:t xml:space="preserve"> 3, no. 1 (2019): 1.</w:t>
      </w:r>
      <w:r w:rsidRPr="00CB3120">
        <w:rPr>
          <w:rFonts w:ascii="Garamond" w:hAnsi="Garamond"/>
        </w:rPr>
        <w:fldChar w:fldCharType="end"/>
      </w:r>
    </w:p>
  </w:footnote>
  <w:footnote w:id="25">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{"citationItems":[{"id":"ITEM-1","itemData":{"ISSN":"2406-7385","author":[{"dropping-particle":"","family":"Usanti","given":"Trisadini Prasastinah","non-dropping-particle":"","parse-names":false,"suffix":""}],"container-title":"Perspektif","id":"ITEM-1","issue":"3","issued":{"date-parts":[["2006"]]},"page":"258-281","title":"Restrukturisasi Pembiayaan sebagai Salah Satu Upaya Penanganan Pembiayaan Bermasalah","type":"article-journal","volume":"11"},"uris":["http://www.mendeley.com/documents/?uuid=1c2e9624-bb3d-4305-9956-145618e1837d"]}],"mendeley":{"formattedCitation":"Trisadini Prasastinah Usanti, “Restrukturisasi Pembiayaan Sebagai Salah Satu Upaya Penanganan Pembiayaan Bermasalah,” &lt;i&gt;Perspektif&lt;/i&gt; 11, no. 3 (2006): 258–81.","plainTextFormattedCitation":"Trisadini Prasastinah Usanti, “Restrukturisasi Pembiayaan Sebagai Salah Satu Upaya Penanganan Pembiayaan Bermasalah,” Perspektif 11, no. 3 (2006): 258–81.","previouslyFormattedCitation":"(Usanti 2006)"},"properties":{"noteIndex":25},"schema":"https://github.com/citation-style-language/schema/raw/master/csl-citation.json"}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Trisadini Prasastinah Usanti, “Restrukturisasi Pembiayaan Sebagai Salah Satu Upaya Penanganan Pembiayaan Bermasalah,” </w:t>
      </w:r>
      <w:r w:rsidRPr="00CB3120">
        <w:rPr>
          <w:rFonts w:ascii="Garamond" w:hAnsi="Garamond"/>
          <w:i/>
          <w:noProof/>
        </w:rPr>
        <w:t>Perspektif</w:t>
      </w:r>
      <w:r w:rsidRPr="00CB3120">
        <w:rPr>
          <w:rFonts w:ascii="Garamond" w:hAnsi="Garamond"/>
          <w:noProof/>
        </w:rPr>
        <w:t xml:space="preserve"> 11, no. 3 (2006): 258–81.</w:t>
      </w:r>
      <w:r w:rsidRPr="00CB3120">
        <w:rPr>
          <w:rFonts w:ascii="Garamond" w:hAnsi="Garamond"/>
        </w:rPr>
        <w:fldChar w:fldCharType="end"/>
      </w:r>
    </w:p>
  </w:footnote>
  <w:footnote w:id="2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{"citationItems":[{"id":"ITEM-1","itemData":{"author":[{"dropping-particle":"","family":"Widyaningsih","given":"Bekti","non-dropping-particle":"","parse-names":false,"suffix":""}],"id":"ITEM-1","issued":{"date-parts":[["2019"]]},"publisher":"IAIN Tulungagung","title":"EFEKTIVITAS RESTRUKTURISASI PEMBIAYAAN AKIBAT PENINGKATAN NPF (Non Performing Financing) SEBAGAI UPAYA MENJAGA PORTOFOLIO NERACA LABA RUGI PADA BANK SYARIAH MANDIR DAN BRI SYARIAH JOMBANG","type":"article"},"uris":["http://www.mendeley.com/documents/?uuid=796a8d1d-ee2a-4f9a-bea0-c4f66f77a0db"]}],"mendeley":{"formattedCitation":"Bekti Widyaningsih, “EFEKTIVITAS RESTRUKTURISASI PEMBIAYAAN AKIBAT PENINGKATAN NPF (Non Performing Financing) SEBAGAI UPAYA MENJAGA PORTOFOLIO NERACA LABA RUGI PADA BANK SYARIAH MANDIR DAN BRI SYARIAH JOMBANG” (IAIN Tulungagung, 2019).","plainTextFormattedCitation":"Bekti Widyaningsih, “EFEKTIVITAS RESTRUKTURISASI PEMBIAYAAN AKIBAT PENINGKATAN NPF (Non Performing Financing) SEBAGAI UPAYA MENJAGA PORTOFOLIO NERACA LABA RUGI PADA BANK SYARIAH MANDIR DAN BRI SYARIAH JOMBANG” (IAIN Tulungagung, 2019).","previouslyFormattedCitation":"(Widyaningsih 2019)"},"properties":{"noteIndex":26},"schema":"https://github.com/citation-style-language/schema/raw/master/csl-citation.json"}</w:instrText>
      </w:r>
      <w:r w:rsidRPr="00CB3120">
        <w:rPr>
          <w:rFonts w:ascii="Garamond" w:hAnsi="Garamond"/>
        </w:rPr>
        <w:fldChar w:fldCharType="separate"/>
      </w:r>
      <w:r w:rsidRPr="00CB3120">
        <w:rPr>
          <w:rFonts w:ascii="Garamond" w:hAnsi="Garamond"/>
          <w:noProof/>
        </w:rPr>
        <w:t>Bekti Widyaningsih, “Efektivitas Restrukturisasi Pembiayaan Akibat Peningkatan Npf (Non Performing Financing) Sebagai Upaya Menjaga Portofolio Neraca Laba Rugi Pada Bank Syariah Mandir Dan Bri Syariah Jombang” (IAIN Tulungagung, 2019).</w:t>
      </w:r>
      <w:r w:rsidRPr="00CB3120">
        <w:rPr>
          <w:rFonts w:ascii="Garamond" w:hAnsi="Garamond"/>
        </w:rPr>
        <w:fldChar w:fldCharType="end"/>
      </w:r>
    </w:p>
  </w:footnote>
  <w:footnote w:id="2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2657-1862","author":[{"dropping-particle":"","family":"Kholiq","given":"Abdul","non-dropping-particle":"","parse-names":false,"suffix":""},{"dropping-particle":"","family":"Rahmawati","given":"Rizqi","non-dropping-particle":"","parse-names":false,"suffix":""}],"container-title":"El-Barka: Journal of Islamic Economics and Business","id":"ITEM-1","issue":"2","issued":{"date-parts":[["2020"]]},"page":"282-316","title":"Dampak Implementasi Restrukturisasi Pembiayaan terhadap Likuiditas Bank Syariah pada Situasi Pandemi Covid-19","type":"article-journal","volume":"3"},"uris":["http://www.mendeley.com/documents/?uuid=fadacb08-4ef9-43c9-8686-916500995d4f"]}],"mendeley":{"formattedCitation":"Abdul Kholiq and Rizqi Rahmawati, “Dampak Implementasi Restrukturisasi Pembiayaan Terhadap Likuiditas Bank Syariah Pada Situasi Pandemi Covid-19,” &lt;i&gt;El-Barka: Journal of Islamic Economics and Business&lt;/i&gt; 3, no. 2 (2020): 282–316.","plainTextFormattedCitation":"Abdul Kholiq and Rizqi Rahmawati, “Dampak Implementasi Restrukturisasi Pembiayaan Terhadap Likuiditas Bank Syariah Pada Situasi Pandemi Covid-19,” El-Barka: Journal of Islamic Economics and Business 3, no. 2 (2020): 282–316.","previouslyFormattedCitation":"(Kholiq and Rahmawati 2020)"},"properties":{"noteIndex":28},"schema":"https://github.com/citation-style-language/schema/raw/master/csl-citation.json"}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Abdul Kholiq and Rizqi Rahmawati, “Dampak Implementasi Restrukturisasi Pembiayaan Terhadap Likuiditas Bank Syariah Pada Situasi Pandemi Covid-19,” </w:t>
      </w:r>
      <w:r w:rsidRPr="00CB3120">
        <w:rPr>
          <w:rFonts w:ascii="Garamond" w:hAnsi="Garamond"/>
          <w:i/>
          <w:noProof/>
        </w:rPr>
        <w:t>El-Barka: Journal of Islamic Economics and Business</w:t>
      </w:r>
      <w:r w:rsidRPr="00CB3120">
        <w:rPr>
          <w:rFonts w:ascii="Garamond" w:hAnsi="Garamond"/>
          <w:noProof/>
        </w:rPr>
        <w:t xml:space="preserve"> 3, no. 2 (2020): 282–316.</w:t>
      </w:r>
      <w:r w:rsidRPr="00CB3120">
        <w:rPr>
          <w:rFonts w:ascii="Garamond" w:hAnsi="Garamond"/>
        </w:rPr>
        <w:fldChar w:fldCharType="end"/>
      </w:r>
    </w:p>
  </w:footnote>
  <w:footnote w:id="2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SN":"2541-4127","author":[{"dropping-particle":"","family":"Dewantara","given":"Aditama","non-dropping-particle":"","parse-names":false,"suffix":""},{"dropping-particle":"","family":"Bawono","given":"Anton","non-dropping-particle":"","parse-names":false,"suffix":""}],"container-title":"ISLAMICONOMIC: Jurnal Ekonomi Islam","id":"ITEM-1","issue":"2","issued":{"date-parts":[["2020"]]},"publisher":"Lembaga Penelitian dan Pengabdian kepada Masyarakat (LP2M) Universitas Islam …","title":"INFLUENCE ANALISYS OF MUDHARABAH, MUSHARAKAH, AND MURABAHAH FINANCING TO PROFITABILITY OF SHARIA COMMERCIAL BANK IN INDONESIA 2016-2019 WITH NON PERFORMING FINANCING AS INTERVENING VARIABLE","type":"article-journal","volume":"11"},"uris":["http://www.mendeley.com/documents/?uuid=5aac52ba-994e-4199-aacc-bd7246522b84"]}],"mendeley":{"formattedCitation":"Aditama Dewantara and Anton Bawono, “INFLUENCE ANALISYS OF MUDHARABAH, MUSHARAKAH, AND MURABAHAH FINANCING TO PROFITABILITY OF SHARIA COMMERCIAL BANK IN INDONESIA 2016-2019 WITH NON PERFORMING FINANCING AS INTERVENING VARIABLE,” &lt;i&gt;ISLAMICONOMIC: Jurnal Ekonomi Islam&lt;/i&gt; 11, no. 2 (2020).","plainTextFormattedCitation":"Aditama Dewantara and Anton Bawono, “INFLUENCE ANALISYS OF MUDHARABAH, MUSHARAKAH, AND MURABAHAH FINANCING TO PROFITABILITY OF SHARIA COMMERCIAL BANK IN INDONESIA 2016-2019 WITH NON PERFORMING FINANCING AS INTERVENING VARIABLE,” ISLAMICONOMIC: Jurnal Ekonomi Islam 11, no. 2 (2020).","previouslyFormattedCitation":"(Dewantara and Bawono 2020)"},"properties":{"noteIndex":29},"schema":"https://github.com/citation-style-language/schema/raw/master/csl-citation.json"}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Aditama Dewantara and Anton Bawono, “Influence Analisys Of Mudharabah, Musharakah, And Murabahah Financing To Profitability Of Sharia Commercial Bank In Indonesia 2016-2019 With Non Performing Financing As Intervening Variable,” </w:t>
      </w:r>
      <w:r w:rsidRPr="00CB3120">
        <w:rPr>
          <w:rFonts w:ascii="Garamond" w:hAnsi="Garamond"/>
          <w:i/>
          <w:noProof/>
        </w:rPr>
        <w:t>Islamiconomic: Jurnal Ekonomi Islam</w:t>
      </w:r>
      <w:r w:rsidRPr="00CB3120">
        <w:rPr>
          <w:rFonts w:ascii="Garamond" w:hAnsi="Garamond"/>
          <w:noProof/>
        </w:rPr>
        <w:t xml:space="preserve"> 11, no. 2 (2020).</w:t>
      </w:r>
      <w:r w:rsidRPr="00CB3120">
        <w:rPr>
          <w:rFonts w:ascii="Garamond" w:hAnsi="Garamond"/>
        </w:rPr>
        <w:fldChar w:fldCharType="end"/>
      </w:r>
    </w:p>
  </w:footnote>
  <w:footnote w:id="2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{"citationItems":[{"id":"ITEM-1","itemData":{"ISBN":"9790766955","author":[{"dropping-particle":"","family":"Husen Sobana","given":"H Dadang","non-dropping-particle":"","parse-names":false,"suffix":""}],"id":"ITEM-1","issued":{"date-parts":[["2018"]]},"publisher":"CV. Pustaka Setia","title":"Manajemen Keuangan Syariah","type":"article"},"uris":["http://www.mendeley.com/documents/?uuid=9a007e22-a480-4706-8a36-b7cb738f0e2e"]}],"mendeley":{"formattedCitation":"H Dadang Husen Sobana, “Manajemen Keuangan Syariah” (CV. Pustaka Setia, 2018).","manualFormatting":"H Dadang Husen Sobana, “Manajemen Keuangan Syariah” (CV. Pustaka Setia, 2018), h 267","plainTextFormattedCitation":"H Dadang Husen Sobana, “Manajemen Keuangan Syariah” (CV. Pustaka Setia, 2018).","previouslyFormattedCitation":"H Dadang Husen Sobana, “Manajemen Keuangan Syariah” (CV. Pustaka Setia, 2018)."},"properties":{"noteIndex":65},"schema":"https://github.com/citation-style-language/schema/raw/master/csl-citation.json"}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 Dadang Husen Sobana, “Manajemen Keuangan Syariah” (CV. Pustaka Setia, 2018), h 267</w:t>
      </w:r>
      <w:r w:rsidRPr="00CB3120">
        <w:rPr>
          <w:rFonts w:ascii="Garamond" w:hAnsi="Garamond"/>
        </w:rPr>
        <w:fldChar w:fldCharType="end"/>
      </w:r>
    </w:p>
  </w:footnote>
  <w:footnote w:id="3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{"citationItems":[{"id":"ITEM-1","itemData":{"ISBN":"978-623-6747-39-1","author":[{"dropping-particle":"","family":"Adawiyah","given":"Endah Robiatul","non-dropping-particle":"","parse-names":false,"suffix":""}],"container-title":"Manajemen Bisnis Kontemporer: Prinsip Dasar dan Aplikasi","edition":"1","editor":[{"dropping-particle":"","family":"GCaido","given":"","non-dropping-particle":"","parse-names":false,"suffix":""}],"id":"ITEM-1","issued":{"date-parts":[["2020"]]},"page":"59-68","publisher":"Diandra Kreatif/Mirra Buana Media","publisher-place":"Yogyakarta","title":"Konsep Dasar Pembiayaan dalam Bisnis","type":"chapter"},"locator":"61","uris":["http://www.mendeley.com/documents/?uuid=3e406a34-9721-409f-816f-187a79f90ddd"]}],"mendeley":{"formattedCitation":"Endah Robiatul Adawiyah, “Konsep Dasar Pembiayaan Dalam Bisnis,” in &lt;i&gt;Manajemen Bisnis Kontemporer: Prinsip Dasar Dan Aplikasi&lt;/i&gt;, ed. GCaido, 1st ed. (Yogyakarta: Diandra Kreatif/Mirra Buana Media, 2020), 61, file:///C:/Users/asus/Desktop/Documents/izasah ku/buku-buku/eChapter_Endah Robiatul Adawiyah.pdf.","manualFormatting":"Endah Robiatul Adawiyah, “Konsep Dasar Pembiayaan Dalam Bisnis,” in Manajemen Bisnis Kontemporer: Prinsip Dasar Dan Aplikasi, ed. GCaido, 1st ed. (Yogyakarta: Diandra Kreatif/Mirra Buana Media, 2020),h.  61, ","plainTextFormattedCitation":"Endah Robiatul Adawiyah, “Konsep Dasar Pembiayaan Dalam Bisnis,” in Manajemen Bisnis Kontemporer: Prinsip Dasar Dan Aplikasi, ed. GCaido, 1st ed. (Yogyakarta: Diandra Kreatif/Mirra Buana Media, 2020), 61, file:///C:/Users/asus/Desktop/Documents/izasah ku/buku-buku/eChapter_Endah Robiatul Adawiyah.pdf.","previouslyFormattedCitation":"Endah Robiatul Adawiyah, “Konsep Dasar Pembiayaan Dalam Bisnis,” in &lt;i&gt;Manajemen Bisnis Kontemporer: Prinsip Dasar Dan Aplikasi&lt;/i&gt;, ed. GCaido, 1st ed. (Yogyakarta: Diandra Kreatif/Mirra Buana Media, 2020), 61, file:///C:/Users/asus/Desktop/Documents/izasah ku/buku-buku/eChapter_Endah Robiatul Adawiyah.pdf."},"properties":{"noteIndex":66},"schema":"https://github.com/citation-style-language/schema/raw/master/csl-citation.json"}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Endah Robiatul Adawiyah, “Konsep Dasar Pembiayaan Dalam Bisnis,” in </w:t>
      </w:r>
      <w:r w:rsidRPr="00CB3120">
        <w:rPr>
          <w:rFonts w:ascii="Garamond" w:hAnsi="Garamond"/>
          <w:bCs/>
          <w:i/>
          <w:noProof/>
        </w:rPr>
        <w:t>Manajemen Bisnis Kontemporer: Prinsip Dasar Dan Aplikasi</w:t>
      </w:r>
      <w:r w:rsidRPr="00CB3120">
        <w:rPr>
          <w:rFonts w:ascii="Garamond" w:hAnsi="Garamond"/>
          <w:bCs/>
          <w:noProof/>
        </w:rPr>
        <w:t xml:space="preserve">, ed. GCaido, 1st ed. (Yogyakarta: Diandra Kreatif/Mirra Buana Media, 2020),h.  61, </w:t>
      </w:r>
      <w:r w:rsidRPr="00CB3120">
        <w:rPr>
          <w:rFonts w:ascii="Garamond" w:hAnsi="Garamond"/>
        </w:rPr>
        <w:fldChar w:fldCharType="end"/>
      </w:r>
    </w:p>
  </w:footnote>
  <w:footnote w:id="3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978.602.422.062.4","author":[{"dropping-particle":"","family":"Soemitra","given":"Andri","non-dropping-particle":"","parse-names":false,"suffix":""}],"edition":"2","id":"ITEM-1","issued":{"date-parts":[["2017"]]},"number-of-pages":"1-508","publisher":"Kencana","publisher-place":"Jakarta","title":"Bank &amp; Lembaga Keuangan Syariah","type":"book"},"locator":"25","uris":["http://www.mendeley.com/documents/?uuid=0f561c66-3499-4977-9c6c-7b4aea2c4ddc"]}],"mendeley":{"formattedCitation":"Andri Soemitra, &lt;i&gt;Bank &amp; Lembaga Keuangan Syariah&lt;/i&gt;, 2nd ed. (Jakarta: Kencana, 2017), 25.","manualFormatting":"Soemitra,\" Bank Dan Lembaga Keuangan Syariah\", 2017, h. 29","plainTextFormattedCitation":"Andri Soemitra, Bank &amp; Lembaga Keuangan Syariah, 2nd ed. (Jakarta: Kencana, 2017), 25.","previouslyFormattedCitation":"Andri Soemitra, &lt;i&gt;Bank &amp; Lembaga Keuangan Syariah&lt;/i&gt;, 2nd ed. (Jakarta: Kencana, 2017), 25."},"properties":{"noteIndex":67},"schema":"https://github.com/citation-style-language/schema/raw/master/csl-citation.json"}</w:instrText>
      </w:r>
      <w:r w:rsidRPr="00CB3120">
        <w:rPr>
          <w:rFonts w:ascii="Garamond" w:hAnsi="Garamond"/>
        </w:rPr>
        <w:fldChar w:fldCharType="separate"/>
      </w:r>
      <w:r w:rsidRPr="00CB3120">
        <w:rPr>
          <w:rFonts w:ascii="Garamond" w:hAnsi="Garamond"/>
          <w:noProof/>
        </w:rPr>
        <w:t>Soemitra," Bank Dan Lembaga Keuangan Syariah", 2017, h. 29</w:t>
      </w:r>
      <w:r w:rsidRPr="00CB3120">
        <w:rPr>
          <w:rFonts w:ascii="Garamond" w:hAnsi="Garamond"/>
        </w:rPr>
        <w:fldChar w:fldCharType="end"/>
      </w:r>
    </w:p>
  </w:footnote>
  <w:footnote w:id="3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 POJK) No 11/POJK.03/2020","given":"","non-dropping-particle":"","parse-names":false,"suffix":""}],"container-title":"www.ojk.go.id","id":"ITEM-1","issued":{"date-parts":[["2020"]]},"title":"Peraturan Otoritas jasa Keuangan ( POJK) No 11/POJK.03/2020, tentang restukturisasi keuangan saat pandemi","type":"webpage"},"uris":["http://www.mendeley.com/documents/?uuid=5587347b-3083-4981-a63b-a81372f64356"]}],"mendeley":{"formattedCitation":"( POJK) No 11/POJK.03/2020, “Peraturan Otoritas Jasa Keuangan ( POJK) No 11/POJK.03/2020, Tentang Restukturisasi Keuangan Saat Pandemi,” &lt;i&gt;Www.Ojk.Go.Id&lt;/i&gt;.","manualFormatting":"( POJK) No 11/POJK.03/2020 )","plainTextFormattedCitation":"( POJK) No 11/POJK.03/2020, “Peraturan Otoritas Jasa Keuangan ( POJK) No 11/POJK.03/2020, Tentang Restukturisasi Keuangan Saat Pandemi,” Www.Ojk.Go.Id.","previouslyFormattedCitation":"( POJK) No 11/POJK.03/2020, “Peraturan Otoritas Jasa Keuangan ( POJK) No 11/POJK.03/2020, Tentang Restukturisasi Keuangan Saat Pandemi,” &lt;i&gt;Www.Ojk.Go.Id&lt;/i&gt;."},"properties":{"noteIndex":68},"schema":"https://github.com/citation-style-language/schema/raw/master/csl-citation.json"}</w:instrText>
      </w:r>
      <w:r w:rsidRPr="00CB3120">
        <w:rPr>
          <w:rFonts w:ascii="Garamond" w:hAnsi="Garamond"/>
        </w:rPr>
        <w:fldChar w:fldCharType="separate"/>
      </w:r>
      <w:r w:rsidRPr="00CB3120">
        <w:rPr>
          <w:rFonts w:ascii="Garamond" w:hAnsi="Garamond"/>
          <w:noProof/>
        </w:rPr>
        <w:t>( POJK) No 11/POJK.03/2020 )</w:t>
      </w:r>
      <w:r w:rsidRPr="00CB3120">
        <w:rPr>
          <w:rFonts w:ascii="Garamond" w:hAnsi="Garamond"/>
        </w:rPr>
        <w:fldChar w:fldCharType="end"/>
      </w:r>
      <w:r w:rsidRPr="00CB3120">
        <w:rPr>
          <w:rFonts w:ascii="Garamond" w:hAnsi="Garamond"/>
        </w:rPr>
        <w:t xml:space="preserve"> diakses 28 januari 2022</w:t>
      </w:r>
    </w:p>
  </w:footnote>
  <w:footnote w:id="3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{"citationItems":[{"id":"ITEM-1","itemData":{"author":[{"dropping-particle":"","family":"Undang-Undang","given":"R I","non-dropping-particle":"","parse-names":false,"suffix":""}],"container-title":"Jakarta (ID)","id":"ITEM-1","issued":{"date-parts":[["2008"]]},"title":"Undang-Undang Nomor 13 Tahun 2008 tentang Perbankan Syariah","type":"webpage"},"uris":["http://www.mendeley.com/documents/?uuid=f477977d-5b8d-4ec1-8291-87f42cbe9fcb"]}],"mendeley":{"formattedCitation":"R I Undang-Undang, “Undang-Undang Nomor 13 Tahun 2008 Tentang Perbankan Syariah,” &lt;i&gt;Jakarta (ID)&lt;/i&gt;.","manualFormatting":" “Undang-Undang Nomor 13 Tahun 2008 Tentang Perbankan Syariah,” Jakarta (ID).","plainTextFormattedCitation":"R I Undang-Undang, “Undang-Undang Nomor 13 Tahun 2008 Tentang Perbankan Syariah,” Jakarta (ID).","previouslyFormattedCitation":"R I Undang-Undang, “Undang-Undang Nomor 13 Tahun 2008 Tentang Perbankan Syariah,” &lt;i&gt;Jakarta (ID)&lt;/i&gt;."},"properties":{"noteIndex":69},"schema":"https://github.com/citation-style-language/schema/raw/master/csl-citation.json"}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 “Undang-Undang Nomor 13 Tahun 2008 Tentang Perbankan Syariah,” </w:t>
      </w:r>
      <w:r w:rsidRPr="00CB3120">
        <w:rPr>
          <w:rFonts w:ascii="Garamond" w:hAnsi="Garamond"/>
          <w:i/>
          <w:noProof/>
        </w:rPr>
        <w:t>Jakarta (ID)</w:t>
      </w:r>
      <w:r w:rsidRPr="00CB3120">
        <w:rPr>
          <w:rFonts w:ascii="Garamond" w:hAnsi="Garamond"/>
          <w:noProof/>
        </w:rPr>
        <w:t>.</w:t>
      </w:r>
      <w:r w:rsidRPr="00CB3120">
        <w:rPr>
          <w:rFonts w:ascii="Garamond" w:hAnsi="Garamond"/>
        </w:rPr>
        <w:fldChar w:fldCharType="end"/>
      </w:r>
    </w:p>
  </w:footnote>
  <w:footnote w:id="3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{"citationItems":[{"id":"ITEM-1","itemData":{"author":[{"dropping-particle":"","family":"(PBI) Peraturan Bank Indonesia No 10/18/PBI/","given":"","non-dropping-particle":"","parse-names":false,"suffix":""}],"container-title":"www. bi.go.id.","id":"ITEM-1","issued":{"date-parts":[["2008"]]},"title":"Peraturan Bank Indonesia No 10/18/PBI/ 2008 tentang restukturisasi pembiayaan","type":"webpage"},"uris":["http://www.mendeley.com/documents/?uuid=56a831d5-3cae-4c44-8864-bc7c1aeb0997"]}],"mendeley":{"formattedCitation":"(PBI) Peraturan Bank Indonesia No 10/18/PBI/, “Peraturan Bank Indonesia No 10/18/PBI/ 2008 Tentang Restukturisasi Pembiayaan,” &lt;i&gt;Www. Bi.Go.Id.&lt;/i&gt;","plainTextFormattedCitation":"(PBI) Peraturan Bank Indonesia No 10/18/PBI/, “Peraturan Bank Indonesia No 10/18/PBI/ 2008 Tentang Restukturisasi Pembiayaan,” Www. Bi.Go.Id.","previouslyFormattedCitation":"(PBI) Peraturan Bank Indonesia No 10/18/PBI/, “Peraturan Bank Indonesia No 10/18/PBI/ 2008 Tentang Restukturisasi Pembiayaan,” &lt;i&gt;Www. Bi.Go.Id.&lt;/i&gt;"},"properties":{"noteIndex":70},"schema":"https://github.com/citation-style-language/schema/raw/master/csl-citation.json"}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(PBI) Peraturan Bank Indonesia No 10/18/PBI/, “Peraturan Bank Indonesia No 10/18/PBI/ 2008 Tentang Restukturisasi Pembiayaan,” </w:t>
      </w:r>
      <w:r w:rsidRPr="00CB3120">
        <w:rPr>
          <w:rFonts w:ascii="Garamond" w:hAnsi="Garamond"/>
          <w:i/>
          <w:noProof/>
        </w:rPr>
        <w:t>Www. Bi.Go.Id.</w:t>
      </w:r>
      <w:r w:rsidRPr="00CB3120">
        <w:rPr>
          <w:rFonts w:ascii="Garamond" w:hAnsi="Garamond"/>
        </w:rPr>
        <w:fldChar w:fldCharType="end"/>
      </w:r>
      <w:r w:rsidRPr="00CB3120">
        <w:rPr>
          <w:rFonts w:ascii="Garamond" w:hAnsi="Garamond"/>
        </w:rPr>
        <w:t>diakses 28-Januari 2022</w:t>
      </w:r>
    </w:p>
  </w:footnote>
  <w:footnote w:id="35">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{"citationItems":[{"id":"ITEM-1","itemData":{"ISBN":"979-514-051-5","author":[{"dropping-particle":"","family":"Moleong","given":"D. M. A. Lexy J.","non-dropping-particle":"","parse-names":false,"suffix":""}],"edition":"38","id":"ITEM-1","issued":{"date-parts":[["2018"]]},"number-of-pages":"404","publisher":"PT. Rosda Karya","publisher-place":"Bandung","title":"Metodologi Penelitian kualitatif","type":"book"},"locator":"4","uris":["http://www.mendeley.com/documents/?uuid=537f9748-09c4-4a53-94cb-d998e29b7cc6"]}],"mendeley":{"formattedCitation":"D. M. A. Lexy J. Moleong, &lt;i&gt;Metodologi Penelitian Kualitatif&lt;/i&gt;, 38th ed. (Bandung: PT. Rosda Karya, 2018), 4.","plainTextFormattedCitation":"D. M. A. Lexy J. Moleong, Metodologi Penelitian Kualitatif, 38th ed. (Bandung: PT. Rosda Karya, 2018), 4.","previouslyFormattedCitation":"D. M. A. Lexy J. Moleong, &lt;i&gt;Metodologi Penelitian Kualitatif&lt;/i&gt;, 38th ed. (Bandung: PT. Rosda Karya, 2018), 4."},"properties":{"noteIndex":30},"schema":"https://github.com/citation-style-language/schema/raw/master/csl-citation.json"}</w:instrText>
      </w:r>
      <w:r w:rsidRPr="00CB3120">
        <w:rPr>
          <w:rFonts w:ascii="Garamond" w:hAnsi="Garamond"/>
        </w:rPr>
        <w:fldChar w:fldCharType="separate"/>
      </w:r>
      <w:r w:rsidRPr="00CB3120">
        <w:rPr>
          <w:rFonts w:ascii="Garamond" w:hAnsi="Garamond"/>
          <w:bCs/>
          <w:noProof/>
        </w:rPr>
        <w:t xml:space="preserve">D. M. A. Lexy J. Moleong, </w:t>
      </w:r>
      <w:r w:rsidRPr="00CB3120">
        <w:rPr>
          <w:rFonts w:ascii="Garamond" w:hAnsi="Garamond"/>
          <w:bCs/>
          <w:i/>
          <w:noProof/>
        </w:rPr>
        <w:t>Metodologi Penelitian Kualitatif</w:t>
      </w:r>
      <w:r w:rsidRPr="00CB3120">
        <w:rPr>
          <w:rFonts w:ascii="Garamond" w:hAnsi="Garamond"/>
          <w:bCs/>
          <w:noProof/>
        </w:rPr>
        <w:t>, 38th ed. (Bandung: PT. Rosda Karya, 2018), 4.</w:t>
      </w:r>
      <w:r w:rsidRPr="00CB3120">
        <w:rPr>
          <w:rFonts w:ascii="Garamond" w:hAnsi="Garamond"/>
        </w:rPr>
        <w:fldChar w:fldCharType="end"/>
      </w:r>
    </w:p>
  </w:footnote>
  <w:footnote w:id="3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{"citationItems":[{"id":"ITEM-1","itemData":{"author":[{"dropping-particle":"","family":"Asy-Syatibi","given":"","non-dropping-particle":"","parse-names":false,"suffix":""}],"edition":"Jilid 2","id":"ITEM-1","issued":{"date-parts":[["0"]]},"publisher":"Mustafa Muhammad","publisher-place":"Kairo","title":"Al-Muafaqad fi Ushul al-Syari</w:instrText>
      </w:r>
      <w:r w:rsidRPr="00CB3120">
        <w:instrText>‟</w:instrText>
      </w:r>
      <w:r w:rsidRPr="00CB3120">
        <w:rPr>
          <w:rFonts w:ascii="Garamond" w:hAnsi="Garamond"/>
        </w:rPr>
        <w:instrText>ah,","type":"book"},"locator":"II/ 9","uris":["http://www.mendeley.com/documents/?uuid=faa8e83e-2d80-4bb9-bd48-cc1f5054a414"]}],"mendeley":{"formattedCitation":"Asy-Syatibi, &lt;i&gt;Al-Muafaqad Fi Ushul Al-Syari</w:instrText>
      </w:r>
      <w:r w:rsidRPr="00CB3120">
        <w:instrText>‟</w:instrText>
      </w:r>
      <w:r w:rsidRPr="00CB3120">
        <w:rPr>
          <w:rFonts w:ascii="Garamond" w:hAnsi="Garamond"/>
        </w:rPr>
        <w:instrText>ah,&lt;/i&gt; Jilid 2 (Kairo: Mustafa Muhammad, n.d.), II/ 9.","plainTextFormattedCitation":"Asy-Syatibi, Al-Muafaqad Fi Ushul Al-Syari</w:instrText>
      </w:r>
      <w:r w:rsidRPr="00CB3120">
        <w:instrText>‟</w:instrText>
      </w:r>
      <w:r w:rsidRPr="00CB3120">
        <w:rPr>
          <w:rFonts w:ascii="Garamond" w:hAnsi="Garamond"/>
        </w:rPr>
        <w:instrText>ah, Jilid 2 (Kairo: Mustafa Muhammad, n.d.), II/ 9.","previouslyFormattedCitation":"Asy-Syatibi, &lt;i&gt;Al-Muafaqad Fi Ushul Al-Syari</w:instrText>
      </w:r>
      <w:r w:rsidRPr="00CB3120">
        <w:instrText>‟</w:instrText>
      </w:r>
      <w:r w:rsidRPr="00CB3120">
        <w:rPr>
          <w:rFonts w:ascii="Garamond" w:hAnsi="Garamond"/>
        </w:rPr>
        <w:instrText>ah,&lt;/i&gt; Jilid 2 (Kairo: Mustafa Muhammad, n.d.), II/ 9."},"properties":{"noteIndex":31},"schema":"https://github.com/citation-style-language/schema/raw/master/csl-citation.json"}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Asy-Syatibi, </w:t>
      </w:r>
      <w:r w:rsidRPr="00CB3120">
        <w:rPr>
          <w:rFonts w:ascii="Garamond" w:hAnsi="Garamond"/>
          <w:i/>
          <w:noProof/>
        </w:rPr>
        <w:t>Al-Muafaqad Fi Ushul Al-Syari</w:t>
      </w:r>
      <w:r w:rsidRPr="00CB3120">
        <w:rPr>
          <w:i/>
          <w:noProof/>
        </w:rPr>
        <w:t>‟</w:t>
      </w:r>
      <w:r w:rsidRPr="00CB3120">
        <w:rPr>
          <w:rFonts w:ascii="Garamond" w:hAnsi="Garamond"/>
          <w:i/>
          <w:noProof/>
        </w:rPr>
        <w:t>ah,</w:t>
      </w:r>
      <w:r w:rsidRPr="00CB3120">
        <w:rPr>
          <w:rFonts w:ascii="Garamond" w:hAnsi="Garamond"/>
          <w:noProof/>
        </w:rPr>
        <w:t xml:space="preserve"> Jilid 2 (Kairo: Mustafa Muhammad, n.d.), II/ 9.</w:t>
      </w:r>
      <w:r w:rsidRPr="00CB3120">
        <w:rPr>
          <w:rFonts w:ascii="Garamond" w:hAnsi="Garamond"/>
        </w:rPr>
        <w:fldChar w:fldCharType="end"/>
      </w:r>
    </w:p>
  </w:footnote>
  <w:footnote w:id="3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 Soenarjo","given":"Dkk","non-dropping-particle":"","parse-names":false,"suffix":""}],"id":"ITEM-1","issued":{"date-parts":[["2005"]]},"publisher":"Depertemen Agama RI","publisher-place":"Jakarta","title":"Al-qur'an dan terjemahnya","type":"book"},"locator":"523","uris":["http://www.mendeley.com/documents/?uuid=52383729-103a-4dae-b6a0-826e9e3a5b4a"]}],"mendeley":{"formattedCitation":"Dkk A. Soenarjo, &lt;i&gt;Al-Qur’an Dan Terjemahnya&lt;/i&gt; (Jakarta: Depertemen Agama RI, 2005), 523.","plainTextFormattedCitation":"Dkk A. Soenarjo, Al-Qur’an Dan Terjemahnya (Jakarta: Depertemen Agama RI, 2005), 523.","previouslyFormattedCitation":"Dkk A. Soenarjo, &lt;i&gt;Al-Qur’an Dan Terjemahnya&lt;/i&gt; (Jakarta: Depertemen Agama RI, 2005), 523."},"properties":{"noteIndex":32},"schema":"https://github.com/citation-style-language/schema/raw/master/csl-citation.json"}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Dkk A. Soenarjo, </w:t>
      </w:r>
      <w:r w:rsidRPr="00CB3120">
        <w:rPr>
          <w:rFonts w:ascii="Garamond" w:hAnsi="Garamond"/>
          <w:i/>
          <w:noProof/>
        </w:rPr>
        <w:t>Al-Qur’an Dan Terjemahnya</w:t>
      </w:r>
      <w:r w:rsidRPr="00CB3120">
        <w:rPr>
          <w:rFonts w:ascii="Garamond" w:hAnsi="Garamond"/>
          <w:noProof/>
        </w:rPr>
        <w:t xml:space="preserve"> (Jakarta: Depertemen Agama RI, 2005), 523.</w:t>
      </w:r>
      <w:r w:rsidRPr="00CB3120">
        <w:rPr>
          <w:rFonts w:ascii="Garamond" w:hAnsi="Garamond"/>
        </w:rPr>
        <w:fldChar w:fldCharType="end"/>
      </w:r>
    </w:p>
  </w:footnote>
  <w:footnote w:id="3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 Soenarjo","given":"Dkk","non-dropping-particle":"","parse-names":false,"suffix":""}],"id":"ITEM-1","issued":{"date-parts":[["2005"]]},"publisher":"Depertemen Agama RI","publisher-place":"Jakarta","title":"Al-qur'an dan terjemahnya","type":"book"},"locator":"508","uris":["http://www.mendeley.com/documents/?uuid=52383729-103a-4dae-b6a0-826e9e3a5b4a"]}],"mendeley":{"formattedCitation":"A. Soenarjo, 508.","manualFormatting":" A. Soenarjo. Dkk., Al-Qur’an Dan Terjemahnya., 508.","plainTextFormattedCitation":"A. Soenarjo, 508.","previouslyFormattedCitation":"A. Soenarjo, 508."},"properties":{"noteIndex":33},"schema":"https://github.com/citation-style-language/schema/raw/master/csl-citation.json"}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 A. Soenarjo. Dkk., </w:t>
      </w:r>
      <w:r w:rsidRPr="00CB3120">
        <w:rPr>
          <w:rFonts w:ascii="Garamond" w:hAnsi="Garamond"/>
          <w:i/>
          <w:noProof/>
        </w:rPr>
        <w:t>Al-Qur’an Dan Terjemahnya.</w:t>
      </w:r>
      <w:r w:rsidRPr="00CB3120">
        <w:rPr>
          <w:rFonts w:ascii="Garamond" w:hAnsi="Garamond"/>
          <w:noProof/>
        </w:rPr>
        <w:t>, 508.</w:t>
      </w:r>
      <w:r w:rsidRPr="00CB3120">
        <w:rPr>
          <w:rFonts w:ascii="Garamond" w:hAnsi="Garamond"/>
        </w:rPr>
        <w:fldChar w:fldCharType="end"/>
      </w:r>
    </w:p>
  </w:footnote>
  <w:footnote w:id="3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{"citationItems":[{"id":"ITEM-1","itemData":{"ISBN":"979.421.774-3","author":[{"dropping-particle":"","family":"Djazuli.I","given":"Nurol Aen","non-dropping-particle":"","parse-names":false,"suffix":""}],"edition":"pertama","id":"ITEM-1","issued":{"date-parts":[["2000"]]},"number-of-pages":"1-430","publisher":"PT. Raja Grafindo Persada","publisher-place":"Jakarta","title":"Ushul Fiqh; Metodologi Hukum Islam","type":"book"},"locator":"182","uris":["http://www.mendeley.com/documents/?uuid=270f521b-6987-47ab-9fce-2e4fb3b83aea"]}],"mendeley":{"formattedCitation":"Nurol Aen Djazuli.I, &lt;i&gt;Ushul Fiqh; Metodologi Hukum Islam&lt;/i&gt;, pertama (Jakarta: PT. Raja Grafindo Persada, 2000), 182.","manualFormatting":"Nurol Aen Djazuli.I, Ushul Fiqh; Metodologi Hukum Islam, pertama. (Jakarta: PT. Raja Grafindo Persada, 2000),  182.","plainTextFormattedCitation":"Nurol Aen Djazuli.I, Ushul Fiqh; Metodologi Hukum Islam, pertama (Jakarta: PT. Raja Grafindo Persada, 2000), 182.","previouslyFormattedCitation":"Nurol Aen Djazuli.I, &lt;i&gt;Ushul Fiqh; Metodologi Hukum Islam&lt;/i&gt;, pertama (Jakarta: PT. Raja Grafindo Persada, 2000), 182."},"properties":{"noteIndex":34},"schema":"https://github.com/citation-style-language/schema/raw/master/csl-citation.json"}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Nurol Aen Djazuli.I, </w:t>
      </w:r>
      <w:r w:rsidRPr="00CB3120">
        <w:rPr>
          <w:rFonts w:ascii="Garamond" w:hAnsi="Garamond"/>
          <w:i/>
          <w:noProof/>
        </w:rPr>
        <w:t>Ushul Fiqh; Metodologi Hukum Islam</w:t>
      </w:r>
      <w:r w:rsidRPr="00CB3120">
        <w:rPr>
          <w:rFonts w:ascii="Garamond" w:hAnsi="Garamond"/>
          <w:noProof/>
        </w:rPr>
        <w:t>, pertama. (Jakarta: PT. Raja Grafindo Persada, 2000),  182.</w:t>
      </w:r>
      <w:r w:rsidRPr="00CB3120">
        <w:rPr>
          <w:rFonts w:ascii="Garamond" w:hAnsi="Garamond"/>
        </w:rPr>
        <w:fldChar w:fldCharType="end"/>
      </w:r>
    </w:p>
  </w:footnote>
  <w:footnote w:id="4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{"citationItems":[{"id":"ITEM-1","itemData":{"author":[{"dropping-particle":"","family":"Nawawi","given":"Al-imam Yahya bin Syarifuddin","non-dropping-particle":"","parse-names":false,"suffix":""}],"id":"ITEM-1","issued":{"date-parts":[["272"]]},"publisher":"Syarikat maktabah Madaniyyah","publisher-place":"Indonesya","title":"Matan 'arbain Nawawiyah:fi al-hadist shahih nabawiyah","type":"book"},"locator":"67","uris":["http://www.mendeley.com/documents/?uuid=3a33f251-dfea-4312-b9c5-eee7d5c643e7"]}],"mendeley":{"formattedCitation":"Al-imam Yahya bin Syarifuddin Nawawi, &lt;i&gt;Matan ’arbain Nawawiyah:Fi Al-Hadist Shahih Nabawiyah&lt;/i&gt; (Indonesya: Syarikat maktabah Madaniyyah, 272AD), 67.","manualFormatting":"Al-imam Yahya bin Syarifuddin Nawawi, Matan ’arbain Nawawiyah:Fi Al-Hadist Shahih Nabawiyah (Indonesya: Syarikat maktabah Madaniyyah, 272AD),. 67.","plainTextFormattedCitation":"Al-imam Yahya bin Syarifuddin Nawawi, Matan ’arbain Nawawiyah:Fi Al-Hadist Shahih Nabawiyah (Indonesya: Syarikat maktabah Madaniyyah, 272AD), 67.","previouslyFormattedCitation":"Al-imam Yahya bin Syarifuddin Nawawi, &lt;i&gt;Matan ’arbain Nawawiyah:Fi Al-Hadist Shahih Nabawiyah&lt;/i&gt; (Indonesya: Syarikat maktabah Madaniyyah, 272AD), 67."},"properties":{"noteIndex":35},"schema":"https://github.com/citation-style-language/schema/raw/master/csl-citation.json"}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Al-imam Yahya bin Syarifuddin Nawawi, </w:t>
      </w:r>
      <w:r w:rsidRPr="00CB3120">
        <w:rPr>
          <w:rFonts w:ascii="Garamond" w:hAnsi="Garamond"/>
          <w:i/>
          <w:noProof/>
        </w:rPr>
        <w:t>Matan ’arbain Nawawiyah:Fi Al-Hadist Shahih Nabawiyah</w:t>
      </w:r>
      <w:r w:rsidRPr="00CB3120">
        <w:rPr>
          <w:rFonts w:ascii="Garamond" w:hAnsi="Garamond"/>
          <w:noProof/>
        </w:rPr>
        <w:t xml:space="preserve"> (Indonesya: Syarikat maktabah Madaniyyah, 272AD),. 67.</w:t>
      </w:r>
      <w:r w:rsidRPr="00CB3120">
        <w:rPr>
          <w:rFonts w:ascii="Garamond" w:hAnsi="Garamond"/>
        </w:rPr>
        <w:fldChar w:fldCharType="end"/>
      </w:r>
    </w:p>
  </w:footnote>
  <w:footnote w:id="4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Dakwahstudio","given":"","non-dropping-particle":"","parse-names":false,"suffix":""}],"container-title":"https://haditsarbain.com/hadits/larangan-membahayakan-diri-dan-orang-lain/","id":"ITEM-1","issued":{"date-parts":[["1421"]]},"title":"Hadis ke 32 Larangan Membahayakan diri dan orang lain","type":"webpage"},"locator":"1","uris":["http://www.mendeley.com/documents/?uuid=d1d66bf7-7cbc-4d95-9cc5-1c59c0bc2e8b"]}],"mendeley":{"formattedCitation":"Dakwahstudio, “Hadis Ke 32 Larangan Membahayakan Diri Dan Orang Lain,” https://haditsarbain.com/hadits/larangan-membahayakan-diri-dan-orang-lain/, 1421, 1.","manualFormatting":"Dakwahstudio, “Hadis Ke 32 Larangan Membahayakan Diri Dan Orang Lain,” Https://Haditsarbain.Com/Hadits/Larangan-Membahayakan-Diri-Dan-Orang-Lain/,  1. diakses 5 februari 2022.","plainTextFormattedCitation":"Dakwahstudio, “Hadis Ke 32 Larangan Membahayakan Diri Dan Orang Lain,” https://haditsarbain.com/hadits/larangan-membahayakan-diri-dan-orang-lain/, 1421, 1.","previouslyFormattedCitation":"Dakwahstudio, “Hadis Ke 32 Larangan Membahayakan Diri Dan Orang Lain,” https://haditsarbain.com/hadits/larangan-membahayakan-diri-dan-orang-lain/, 1421, 1."},"properties":{"noteIndex":36},"schema":"https://github.com/citation-style-language/schema/raw/master/csl-citation.json"}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Dakwahstudio, “Hadis Ke 32 Larangan Membahayakan Diri Dan Orang Lain,” </w:t>
      </w:r>
      <w:r w:rsidRPr="00CB3120">
        <w:rPr>
          <w:rFonts w:ascii="Garamond" w:hAnsi="Garamond"/>
          <w:i/>
          <w:noProof/>
        </w:rPr>
        <w:t>Https://Haditsarbain.Com/Hadits/Larangan-Membahayakan-Diri-Dan-Orang-Lain/</w:t>
      </w:r>
      <w:r w:rsidRPr="00CB3120">
        <w:rPr>
          <w:rFonts w:ascii="Garamond" w:hAnsi="Garamond"/>
          <w:noProof/>
        </w:rPr>
        <w:t>,  1. diakses 5 februari 2022.</w:t>
      </w:r>
      <w:r w:rsidRPr="00CB3120">
        <w:rPr>
          <w:rFonts w:ascii="Garamond" w:hAnsi="Garamond"/>
        </w:rPr>
        <w:fldChar w:fldCharType="end"/>
      </w:r>
    </w:p>
  </w:footnote>
  <w:footnote w:id="4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-979-769-824-9","author":[{"dropping-particle":"","family":"Sanusi.","given":"Ahmad","non-dropping-particle":"","parse-names":false,"suffix":""}],"id":"ITEM-1","issued":{"date-parts":[["2015"]]},"number-of-pages":"255","publisher":"Raja Grafindo Persada","publisher-place":"Jakarta","title":"Ushul Fiqih","type":"book"},"locator":"79-80","uris":["http://www.mendeley.com/documents/?uuid=afe2c62a-29a6-44d1-bd23-0e236036658d"]}],"mendeley":{"formattedCitation":"Ahmad Sanusi., &lt;i&gt;Ushul Fiqih&lt;/i&gt; (Jakarta: Raja Grafindo Persada, 2015), 79–80.","manualFormatting":"Ahmad Sanusi., Ushul Fiqih (Jakarta: Raja Grafindo Persada, 2015), 79–80.","plainTextFormattedCitation":"Ahmad Sanusi., Ushul Fiqih (Jakarta: Raja Grafindo Persada, 2015), 79–80.","previouslyFormattedCitation":"Ahmad Sanusi., &lt;i&gt;Ushul Fiqih&lt;/i&gt; (Jakarta: Raja Grafindo Persada, 2015), 79–80."},"properties":{"noteIndex":37},"schema":"https://github.com/citation-style-language/schema/raw/master/csl-citation.json"}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Ahmad Sanusi., </w:t>
      </w:r>
      <w:r w:rsidRPr="00CB3120">
        <w:rPr>
          <w:rFonts w:ascii="Garamond" w:hAnsi="Garamond"/>
          <w:i/>
          <w:noProof/>
        </w:rPr>
        <w:t>Ushul Fiqih</w:t>
      </w:r>
      <w:r w:rsidRPr="00CB3120">
        <w:rPr>
          <w:rFonts w:ascii="Garamond" w:hAnsi="Garamond"/>
          <w:noProof/>
        </w:rPr>
        <w:t xml:space="preserve"> (Jakarta: Raja Grafindo Persada, 2015), 79–80.</w:t>
      </w:r>
      <w:r w:rsidRPr="00CB3120">
        <w:rPr>
          <w:rFonts w:ascii="Garamond" w:hAnsi="Garamond"/>
        </w:rPr>
        <w:fldChar w:fldCharType="end"/>
      </w:r>
    </w:p>
  </w:footnote>
  <w:footnote w:id="4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{"citationItems":[{"id":"ITEM-1","itemData":{"author":[{"dropping-particle":"","family":"Asy-Syatibi","given":"","non-dropping-particle":"","parse-names":false,"suffix":""}],"edition":"Jilid 2","id":"ITEM-1","issued":{"date-parts":[["0"]]},"publisher":"Mustafa Muhammad","publisher-place":"Kairo","title":"Al-Muafaqad fi Ushul al-Syari</w:instrText>
      </w:r>
      <w:r w:rsidRPr="00CB3120">
        <w:instrText>‟</w:instrText>
      </w:r>
      <w:r w:rsidRPr="00CB3120">
        <w:rPr>
          <w:rFonts w:ascii="Garamond" w:hAnsi="Garamond"/>
        </w:rPr>
        <w:instrText>ah,","type":"book"},"locator":"25","uris":["http://www.mendeley.com/documents/?uuid=faa8e83e-2d80-4bb9-bd48-cc1f5054a414"]}],"mendeley":{"formattedCitation":"Asy-Syatibi, &lt;i&gt;Al-Muafaqad Fi Ushul Al-Syari</w:instrText>
      </w:r>
      <w:r w:rsidRPr="00CB3120">
        <w:instrText>‟</w:instrText>
      </w:r>
      <w:r w:rsidRPr="00CB3120">
        <w:rPr>
          <w:rFonts w:ascii="Garamond" w:hAnsi="Garamond"/>
        </w:rPr>
        <w:instrText>ah,&lt;/i&gt; 25.","plainTextFormattedCitation":"Asy-Syatibi, Al-Muafaqad Fi Ushul Al-Syari</w:instrText>
      </w:r>
      <w:r w:rsidRPr="00CB3120">
        <w:instrText>‟</w:instrText>
      </w:r>
      <w:r w:rsidRPr="00CB3120">
        <w:rPr>
          <w:rFonts w:ascii="Garamond" w:hAnsi="Garamond"/>
        </w:rPr>
        <w:instrText>ah, 25.","previouslyFormattedCitation":"Asy-Syatibi, &lt;i&gt;Al-Muafaqad Fi Ushul Al-Syari</w:instrText>
      </w:r>
      <w:r w:rsidRPr="00CB3120">
        <w:instrText>‟</w:instrText>
      </w:r>
      <w:r w:rsidRPr="00CB3120">
        <w:rPr>
          <w:rFonts w:ascii="Garamond" w:hAnsi="Garamond"/>
        </w:rPr>
        <w:instrText>ah,&lt;/i&gt; 25."},"properties":{"noteIndex":38},"schema":"https://github.com/citation-style-language/schema/raw/master/csl-citation.json"}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Asy-Syatibi, </w:t>
      </w:r>
      <w:r w:rsidRPr="00CB3120">
        <w:rPr>
          <w:rFonts w:ascii="Garamond" w:hAnsi="Garamond"/>
          <w:i/>
          <w:noProof/>
        </w:rPr>
        <w:t>Al-Muafaqad Fi Ushul Al-Syari</w:t>
      </w:r>
      <w:r w:rsidRPr="00CB3120">
        <w:rPr>
          <w:i/>
          <w:noProof/>
        </w:rPr>
        <w:t>‟</w:t>
      </w:r>
      <w:r w:rsidRPr="00CB3120">
        <w:rPr>
          <w:rFonts w:ascii="Garamond" w:hAnsi="Garamond"/>
          <w:i/>
          <w:noProof/>
        </w:rPr>
        <w:t>ah,</w:t>
      </w:r>
      <w:r w:rsidRPr="00CB3120">
        <w:rPr>
          <w:rFonts w:ascii="Garamond" w:hAnsi="Garamond"/>
          <w:noProof/>
        </w:rPr>
        <w:t xml:space="preserve"> 25.</w:t>
      </w:r>
      <w:r w:rsidRPr="00CB3120">
        <w:rPr>
          <w:rFonts w:ascii="Garamond" w:hAnsi="Garamond"/>
        </w:rPr>
        <w:fldChar w:fldCharType="end"/>
      </w:r>
    </w:p>
  </w:footnote>
  <w:footnote w:id="4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{"citationItems":[{"id":"ITEM-1","itemData":{"ISBN":"9789796927357","author":[{"dropping-particle":"","family":"Janwari","given":"Yadi","non-dropping-particle":"","parse-names":false,"suffix":""}],"container-title":"Bandung: PT Remaja Rosda Karya","edition":"1","id":"ITEM-1","issued":{"date-parts":[["2016"]]},"number-of-pages":"1-339","publisher":"PT. Remaja Rosdakarya","publisher-place":"Bandung","title":"Pemikiran Ekonomi Islam: Dari Masa Rasulullah Hingga Masa Kontemporer","type":"book"},"locator":"239","uris":["http://www.mendeley.com/documents/?uuid=d42bc6e2-2f1c-4cff-88d7-1209fea55d00"]}],"mendeley":{"formattedCitation":"Yadi Janwari, &lt;i&gt;Pemikiran Ekonomi Islam: Dari Masa Rasulullah Hingga Masa Kontemporer&lt;/i&gt;, &lt;i&gt;Bandung: PT Remaja Rosda Karya&lt;/i&gt;, 1st ed. (Bandung: PT. Remaja Rosdakarya, 2016), 239.","manualFormatting":" Janwari, Pemikiran Ekonomi Islam: Dari Masa Rasulullah Hingga Masa Kontemporer, 239.","plainTextFormattedCitation":"Yadi Janwari, Pemikiran Ekonomi Islam: Dari Masa Rasulullah Hingga Masa Kontemporer, Bandung: PT Remaja Rosda Karya, 1st ed. (Bandung: PT. Remaja Rosdakarya, 2016), 239.","previouslyFormattedCitation":"Yadi Janwari, &lt;i&gt;Pemikiran Ekonomi Islam: Dari Masa Rasulullah Hingga Masa Kontemporer&lt;/i&gt;, &lt;i&gt;Bandung: PT Remaja Rosda Karya&lt;/i&gt;, 1st ed. (Bandung: PT. Remaja Rosdakarya, 2016), 239."},"properties":{"noteIndex":39},"schema":"https://github.com/citation-style-language/schema/raw/master/csl-citation.json"}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 Janwari, </w:t>
      </w:r>
      <w:r w:rsidRPr="00CB3120">
        <w:rPr>
          <w:rFonts w:ascii="Garamond" w:hAnsi="Garamond"/>
          <w:i/>
          <w:noProof/>
        </w:rPr>
        <w:t>Pemikiran Ekonomi Islam: Dari Masa Rasulullah Hingga Masa Kontemporer</w:t>
      </w:r>
      <w:r w:rsidRPr="00CB3120">
        <w:rPr>
          <w:rFonts w:ascii="Garamond" w:hAnsi="Garamond"/>
          <w:noProof/>
        </w:rPr>
        <w:t>, 239.</w:t>
      </w:r>
      <w:r w:rsidRPr="00CB3120">
        <w:rPr>
          <w:rFonts w:ascii="Garamond" w:hAnsi="Garamond"/>
        </w:rPr>
        <w:fldChar w:fldCharType="end"/>
      </w:r>
    </w:p>
  </w:footnote>
  <w:footnote w:id="45">
    <w:p w:rsidR="00CB3120" w:rsidRPr="00CB3120" w:rsidRDefault="00CB3120" w:rsidP="003B7CB5">
      <w:pPr>
        <w:widowControl w:val="0"/>
        <w:autoSpaceDE w:val="0"/>
        <w:autoSpaceDN w:val="0"/>
        <w:adjustRightInd w:val="0"/>
        <w:ind w:firstLine="567"/>
        <w:jc w:val="both"/>
        <w:rPr>
          <w:rFonts w:ascii="Garamond" w:hAnsi="Garamond"/>
          <w:sz w:val="20"/>
          <w:szCs w:val="20"/>
        </w:rPr>
      </w:pPr>
      <w:r w:rsidRPr="00CB3120">
        <w:rPr>
          <w:rStyle w:val="FootnoteReference"/>
          <w:rFonts w:ascii="Garamond" w:hAnsi="Garamond"/>
          <w:sz w:val="20"/>
          <w:szCs w:val="20"/>
        </w:rPr>
        <w:footnoteRef/>
      </w:r>
      <w:r w:rsidRPr="00CB3120">
        <w:rPr>
          <w:rFonts w:ascii="Garamond" w:hAnsi="Garamond"/>
          <w:sz w:val="20"/>
          <w:szCs w:val="20"/>
        </w:rPr>
        <w:fldChar w:fldCharType="begin" w:fldLock="1"/>
      </w:r>
      <w:r w:rsidRPr="00CB3120">
        <w:rPr>
          <w:rFonts w:ascii="Garamond" w:hAnsi="Garamond"/>
          <w:sz w:val="20"/>
          <w:szCs w:val="20"/>
        </w:rPr>
        <w:instrText>ADDIN CSL_CITATION {"citationItems":[{"id":"ITEM-1","itemData":{"author":[{"dropping-particle":"","family":"( POJK) No 11/POJK.03/2020","given":"","non-dropping-particle":"","parse-names":false,"suffix":""}],"container-title":"www.ojk.go.id","id":"ITEM-1","issued":{"date-parts":[["2020"]]},"title":"Peraturan Otoritas jasa Keuangan ( POJK) No 11/POJK.03/2020, tentang restukturisasi keuangan saat pandemi","type":"webpage"},"uris":["http://www.mendeley.com/documents/?uuid=5587347b-3083-4981-a63b-a81372f64356"]}],"mendeley":{"formattedCitation":"( POJK) No 11/POJK.03/2020, “Peraturan Otoritas Jasa Keuangan ( POJK) No 11/POJK.03/2020, Tentang Restukturisasi Keuangan Saat Pandemi,” www.ojk.go.id, 2020.","manualFormatting":"( POJK) No 11/POJK.03/2020 )","plainTextFormattedCitation":"( POJK) No 11/POJK.03/2020, “Peraturan Otoritas Jasa Keuangan ( POJK) No 11/POJK.03/2020, Tentang Restukturisasi Keuangan Saat Pandemi,” www.ojk.go.id, 2020.","previouslyFormattedCitation":"( POJK) No 11/POJK.03/2020, “Peraturan Otoritas Jasa Keuangan ( POJK) No 11/POJK.03/2020, Tentang Restukturisasi Keuangan Saat Pandemi,” www.ojk.go.id, 2020."},"properties":{"noteIndex":41},"schema":"https://github.com/citation-style-language/schema/raw/master/csl-citation.json"}</w:instrText>
      </w:r>
      <w:r w:rsidRPr="00CB3120">
        <w:rPr>
          <w:rFonts w:ascii="Garamond" w:hAnsi="Garamond"/>
          <w:sz w:val="20"/>
          <w:szCs w:val="20"/>
        </w:rPr>
        <w:fldChar w:fldCharType="separate"/>
      </w:r>
      <w:r w:rsidRPr="00CB3120">
        <w:rPr>
          <w:rFonts w:ascii="Garamond" w:hAnsi="Garamond"/>
          <w:noProof/>
          <w:sz w:val="20"/>
          <w:szCs w:val="20"/>
        </w:rPr>
        <w:t xml:space="preserve">( POJK) </w:t>
      </w:r>
      <w:proofErr w:type="gramStart"/>
      <w:r w:rsidRPr="00CB3120">
        <w:rPr>
          <w:rFonts w:ascii="Garamond" w:hAnsi="Garamond"/>
          <w:noProof/>
          <w:sz w:val="20"/>
          <w:szCs w:val="20"/>
        </w:rPr>
        <w:t>No 11/POJK.03/2020 )</w:t>
      </w:r>
      <w:r w:rsidRPr="00CB3120">
        <w:rPr>
          <w:rFonts w:ascii="Garamond" w:hAnsi="Garamond"/>
          <w:sz w:val="20"/>
          <w:szCs w:val="20"/>
        </w:rPr>
        <w:fldChar w:fldCharType="end"/>
      </w:r>
      <w:r w:rsidRPr="00CB3120">
        <w:rPr>
          <w:rFonts w:ascii="Garamond" w:hAnsi="Garamond"/>
          <w:sz w:val="20"/>
          <w:szCs w:val="20"/>
        </w:rPr>
        <w:t xml:space="preserve">, </w:t>
      </w:r>
      <w:r w:rsidRPr="00CB3120">
        <w:rPr>
          <w:rFonts w:ascii="Garamond" w:hAnsi="Garamond"/>
          <w:noProof/>
          <w:sz w:val="20"/>
          <w:szCs w:val="20"/>
        </w:rPr>
        <w:t>Tentang Restukturisasi Keuangan Saat Pandemi.” www.ojk.go.id, 2020.</w:t>
      </w:r>
      <w:proofErr w:type="gramEnd"/>
    </w:p>
  </w:footnote>
  <w:footnote w:id="4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{"citationItems":[{"id":"ITEM-1","itemData":{"author":[{"dropping-particle":"","family":"Undang-Undang","given":"R I","non-dropping-particle":"","parse-names":false,"suffix":""}],"container-title":"Jakarta (ID)","id":"ITEM-1","issued":{"date-parts":[["2008"]]},"title":"Undang-Undang Nomor 13 Tahun 2008 tentang Perbankan Syariah","type":"webpage"},"uris":["http://www.mendeley.com/documents/?uuid=f477977d-5b8d-4ec1-8291-87f42cbe9fcb"]}],"mendeley":{"formattedCitation":"R I Undang-Undang, “Undang-Undang Nomor 13 Tahun 2008 Tentang Perbankan Syariah,” Jakarta (ID), 2008.","plainTextFormattedCitation":"R I Undang-Undang, “Undang-Undang Nomor 13 Tahun 2008 Tentang Perbankan Syariah,” Jakarta (ID), 2008.","previouslyFormattedCitation":"R I Undang-Undang, “Undang-Undang Nomor 13 Tahun 2008 Tentang Perbankan Syariah,” Jakarta (ID), 2008."},"properties":{"noteIndex":42},"schema":"https://github.com/citation-style-language/schema/raw/master/csl-citation.json"}</w:instrText>
      </w:r>
      <w:r w:rsidRPr="00CB3120">
        <w:rPr>
          <w:rFonts w:ascii="Garamond" w:hAnsi="Garamond"/>
        </w:rPr>
        <w:fldChar w:fldCharType="separate"/>
      </w:r>
      <w:r w:rsidRPr="00CB3120">
        <w:rPr>
          <w:rFonts w:ascii="Garamond" w:hAnsi="Garamond"/>
          <w:noProof/>
        </w:rPr>
        <w:t>R I Undang-Undang, “Undang-Undang Nomor 13 Tahun 2008 Tentang Perbankan Syariah,” Jakarta (ID), 2008.</w:t>
      </w:r>
      <w:r w:rsidRPr="00CB3120">
        <w:rPr>
          <w:rFonts w:ascii="Garamond" w:hAnsi="Garamond"/>
        </w:rPr>
        <w:fldChar w:fldCharType="end"/>
      </w:r>
    </w:p>
  </w:footnote>
  <w:footnote w:id="4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{"citationItems":[{"id":"ITEM-1","itemData":{"author":[{"dropping-particle":"","family":"(PBI) Peraturan Bank Indonesia No 10/18/PBI/","given":"","non-dropping-particle":"","parse-names":false,"suffix":""}],"container-title":"www. bi.go.id.","id":"ITEM-1","issued":{"date-parts":[["2008"]]},"title":"Peraturan Bank Indonesia No 10/18/PBI/ 2008 tentang restukturisasi pembiayaan","type":"webpage"},"uris":["http://www.mendeley.com/documents/?uuid=56a831d5-3cae-4c44-8864-bc7c1aeb0997"]}],"mendeley":{"formattedCitation":"(PBI) Peraturan Bank Indonesia No 10/18/PBI/, “Peraturan Bank Indonesia No 10/18/PBI/ 2008 Tentang Restukturisasi Pembiayaan,” www. bi.go.id., 2008.","plainTextFormattedCitation":"(PBI) Peraturan Bank Indonesia No 10/18/PBI/, “Peraturan Bank Indonesia No 10/18/PBI/ 2008 Tentang Restukturisasi Pembiayaan,” www. bi.go.id., 2008.","previouslyFormattedCitation":"(PBI) Peraturan Bank Indonesia No 10/18/PBI/, “Peraturan Bank Indonesia No 10/18/PBI/ 2008 Tentang Restukturisasi Pembiayaan,” www. bi.go.id., 2008."},"properties":{"noteIndex":43},"schema":"https://github.com/citation-style-language/schema/raw/master/csl-citation.json"}</w:instrText>
      </w:r>
      <w:r w:rsidRPr="00CB3120">
        <w:rPr>
          <w:rFonts w:ascii="Garamond" w:hAnsi="Garamond"/>
        </w:rPr>
        <w:fldChar w:fldCharType="separate"/>
      </w:r>
      <w:r w:rsidRPr="00CB3120">
        <w:rPr>
          <w:rFonts w:ascii="Garamond" w:hAnsi="Garamond"/>
          <w:bCs/>
          <w:noProof/>
        </w:rPr>
        <w:t>(PBI) Peraturan Bank Indonesia No 10/18/PBI/, “Peraturan Bank Indonesia No 10/18/PBI/ 2008 Tentang Restukturisasi Pembiayaan,” www. bi.go.id., 2008.</w:t>
      </w:r>
      <w:r w:rsidRPr="00CB3120">
        <w:rPr>
          <w:rFonts w:ascii="Garamond" w:hAnsi="Garamond"/>
        </w:rPr>
        <w:fldChar w:fldCharType="end"/>
      </w:r>
    </w:p>
  </w:footnote>
  <w:footnote w:id="4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{"citationItems":[{"id":"ITEM-1","itemData":{"URL":"www.bi.go.id","author":[{"dropping-particle":"","family":"BI","given":"","non-dropping-particle":"","parse-names":false,"suffix":""}],"container-title":"www. bi.go.id.","id":"ITEM-1","issued":{"date-parts":[["2011"]]},"title":"Peraturan Bank Indonesia ( PBI), No 13/23/PBI/2011","type":"webpage"},"uris":["http://www.mendeley.com/documents/?uuid=57f6f9eb-47ca-4a1f-a43e-3b046a14364b"]}],"mendeley":{"formattedCitation":"BI, “Peraturan Bank Indonesia ( PBI), No 13/23/PBI/2011.”","plainTextFormattedCitation":"BI, “Peraturan Bank Indonesia ( PBI), No 13/23/PBI/2011.”","previouslyFormattedCitation":"BI, “Peraturan Bank Indonesia ( PBI), No 13/23/PBI/2011,” www. bi.go.id., 2011, www.bi.go.id."},"properties":{"noteIndex":44},"schema":"https://github.com/citation-style-language/schema/raw/master/csl-citation.json"}</w:instrText>
      </w:r>
      <w:r w:rsidRPr="00CB3120">
        <w:rPr>
          <w:rFonts w:ascii="Garamond" w:hAnsi="Garamond"/>
        </w:rPr>
        <w:fldChar w:fldCharType="separate"/>
      </w:r>
      <w:r w:rsidRPr="00CB3120">
        <w:rPr>
          <w:rFonts w:ascii="Garamond" w:hAnsi="Garamond"/>
          <w:noProof/>
        </w:rPr>
        <w:t>BI, “Peraturan Bank Indonesia ( PBI), No 13/23/PBI/2011.”</w:t>
      </w:r>
      <w:r w:rsidRPr="00CB3120">
        <w:rPr>
          <w:rFonts w:ascii="Garamond" w:hAnsi="Garamond"/>
        </w:rPr>
        <w:fldChar w:fldCharType="end"/>
      </w:r>
    </w:p>
  </w:footnote>
  <w:footnote w:id="4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{"citationItems":[{"id":"ITEM-1","itemData":{"author":[{"dropping-particle":"","family":"Muhammad","given":"","non-dropping-particle":"","parse-names":false,"suffix":""}],"id":"ITEM-1","issued":{"date-parts":[["2000"]]},"publisher":"UII Press,","publisher-place":"Jogyakarta","title":"Tehnik Perhitungan Bagi Hasil di Bank Syariah","type":"book"},"uris":["http://www.mendeley.com/documents/?uuid=b9dbd9ed-9469-4249-bc03-efa8e52d5280"]}],"mendeley":{"formattedCitation":"Muhammad, &lt;i&gt;Tehnik Perhitungan Bagi Hasil Di Bank Syariah&lt;/i&gt; (Jogyakarta: UII Press, 2000).","manualFormatting":"(Muhammad 2000:261)","plainTextFormattedCitation":"Muhammad, Tehnik Perhitungan Bagi Hasil Di Bank Syariah (Jogyakarta: UII Press, 2000).","previouslyFormattedCitation":"Muhammad, &lt;i&gt;Tehnik Perhitungan Bagi Hasil Di Bank Syariah&lt;/i&gt; (Jogyakarta: UII Press, 2000)."},"properties":{"noteIndex":45},"schema":"https://github.com/citation-style-language/schema/raw/master/csl-citation.json"}</w:instrText>
      </w:r>
      <w:r w:rsidRPr="00CB3120">
        <w:rPr>
          <w:rFonts w:ascii="Garamond" w:hAnsi="Garamond"/>
        </w:rPr>
        <w:fldChar w:fldCharType="separate"/>
      </w:r>
      <w:r w:rsidRPr="00CB3120">
        <w:rPr>
          <w:rFonts w:ascii="Garamond" w:hAnsi="Garamond"/>
          <w:noProof/>
        </w:rPr>
        <w:t>(Muhammad 2000:261)</w:t>
      </w:r>
      <w:r w:rsidRPr="00CB3120">
        <w:rPr>
          <w:rFonts w:ascii="Garamond" w:hAnsi="Garamond"/>
        </w:rPr>
        <w:fldChar w:fldCharType="end"/>
      </w:r>
    </w:p>
  </w:footnote>
  <w:footnote w:id="5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{"citationItems":[{"id":"ITEM-1","itemData":{"author":[{"dropping-particle":"","family":"Munawwaroh","given":"Mujammma'almaalik fadh li thiba al-mushaf asy-syarif medinah","non-dropping-particle":"","parse-names":false,"suffix":""}],"container-title":"Al-Qur’an dan Terjemahnya","id":"ITEM-1","issued":{"date-parts":[["1990"]]},"publisher":"Yayasan penyelenggara penterjemah Al-qur'an","publisher-place":"Jakarta","title":"Al-qur'an dan terjemah","type":"report"},"locator":"70","uris":["http://www.mendeley.com/documents/?uuid=7169aa65-ecbc-4d4d-95b2-41be9a22e522"]}],"mendeley":{"formattedCitation":"Mujammma’almaalik fadh li thiba al-mushaf asy-syarif medinah Munawwaroh, “Al-Qur’an Dan Terjemah,” &lt;i&gt;Al-Qur’an Dan Terjemahnya&lt;/i&gt; (Jakarta: Yayasan penyelenggara penterjemah Al-qur’an, 1990), 70.","plainTextFormattedCitation":"Mujammma’almaalik fadh li thiba al-mushaf asy-syarif medinah Munawwaroh, “Al-Qur’an Dan Terjemah,” Al-Qur’an Dan Terjemahnya (Jakarta: Yayasan penyelenggara penterjemah Al-qur’an, 1990), 70.","previouslyFormattedCitation":"Mujammma’almaalik fadh li thiba al-mushaf asy-syarif medinah Munawwaroh, “Al-Qur’an Dan Terjemah,” &lt;i&gt;Al-Qur’an Dan Terjemahnya&lt;/i&gt; (Jakarta: Yayasan penyelenggara penterjemah Al-qur’an, 1990), 70."},"properties":{"noteIndex":46},"schema":"https://github.com/citation-style-language/schema/raw/master/csl-citation.json"}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Mujammma’almaalik fadh li thiba al-mushaf asy-syarif medinah Munawwaroh, “Al-Qur’an Dan Terjemah,” </w:t>
      </w:r>
      <w:r w:rsidRPr="00CB3120">
        <w:rPr>
          <w:rFonts w:ascii="Garamond" w:hAnsi="Garamond"/>
          <w:i/>
          <w:noProof/>
        </w:rPr>
        <w:t>Al-Qur’an Dan Terjemahnya</w:t>
      </w:r>
      <w:r w:rsidRPr="00CB3120">
        <w:rPr>
          <w:rFonts w:ascii="Garamond" w:hAnsi="Garamond"/>
          <w:noProof/>
        </w:rPr>
        <w:t xml:space="preserve"> (Jakarta: Yayasan penyelenggara penterjemah Al-qur’an, 1990), 70.</w:t>
      </w:r>
      <w:r w:rsidRPr="00CB3120">
        <w:rPr>
          <w:rFonts w:ascii="Garamond" w:hAnsi="Garamond"/>
        </w:rPr>
        <w:fldChar w:fldCharType="end"/>
      </w:r>
    </w:p>
  </w:footnote>
  <w:footnote w:id="51">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URL":"https://www.hadits.id/hadits/majah/2421","author":[{"dropping-particle":"","family":"Hukum-hukum","given":"Kitab","non-dropping-particle":"","parse-names":false,"suffix":""}],"id":"ITEM-1","issued":{"date-parts":[["0"]]},"title":"Hadis Ibnu Majah no 2421","type":"webpage"},"uris":["http://www.mendeley.com/documents/?uuid=100633a7-96bf-4877-b207-2fec625bc0e9"]}],"mendeley":{"formattedCitation":"Kitab Hukum-hukum, “Hadis Ibnu Majah No 2421,” n.d., https://www.hadits.id/hadits/majah/2421.","plainTextFormattedCitation":"Kitab Hukum-hukum, “Hadis Ibnu Majah No 2421,” n.d., https://www.hadits.id/hadits/majah/2421.","previouslyFormattedCitation":"Kitab Hukum-hukum, “Hadis Ibnu Majah No 2421,” n.d., https://www.hadits.id/hadits/majah/2421."},"properties":{"noteIndex":47},"schema":"https://github.com/citation-style-language/schema/raw/master/csl-citation.json"}</w:instrText>
      </w:r>
      <w:r w:rsidRPr="00CB3120">
        <w:rPr>
          <w:rFonts w:ascii="Garamond" w:hAnsi="Garamond"/>
        </w:rPr>
        <w:fldChar w:fldCharType="separate"/>
      </w:r>
      <w:r w:rsidRPr="00CB3120">
        <w:rPr>
          <w:rFonts w:ascii="Garamond" w:hAnsi="Garamond"/>
          <w:noProof/>
        </w:rPr>
        <w:t>Kitab Hukum-hukum, “Hadis Ibnu Majah No 2421,” n.d., https://www.hadits.id/hadits/majah/2421.</w:t>
      </w:r>
      <w:r w:rsidRPr="00CB3120">
        <w:rPr>
          <w:rFonts w:ascii="Garamond" w:hAnsi="Garamond"/>
        </w:rPr>
        <w:fldChar w:fldCharType="end"/>
      </w:r>
    </w:p>
  </w:footnote>
  <w:footnote w:id="5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{"citationItems":[{"id":"ITEM-1","itemData":{"ISBN":"9789790772212","author":[{"dropping-particle":"","family":"Antonio","given":"Muhammad Syaafi'i","non-dropping-particle":"","parse-names":false,"suffix":""}],"id":"ITEM-1","issued":{"date-parts":[["2001"]]},"number-of-pages":"258","publisher":"Gema Insani","publisher-place":"Jakarta","title":"Bank Syari'ah: dari teori ke praktik","type":"book"},"locator":"132","uris":["http://www.mendeley.com/documents/?uuid=8a19116f-e8d2-44cf-a487-e9cca363663b"]}],"mendeley":{"formattedCitation":"Muhammad Syaafi’i Antonio, &lt;i&gt;Bank Syari’ah: Dari Teori Ke Praktik&lt;/i&gt; (Jakarta: Gema Insani, 2001), 132.","plainTextFormattedCitation":"Muhammad Syaafi’i Antonio, Bank Syari’ah: Dari Teori Ke Praktik (Jakarta: Gema Insani, 2001), 132.","previouslyFormattedCitation":"Muhammad Syaafi’i Antonio, &lt;i&gt;Bank Syari’ah: Dari Teori Ke Praktik&lt;/i&gt; (Jakarta: Gema Insani, 2001), 132."},"properties":{"noteIndex":48},"schema":"https://github.com/citation-style-language/schema/raw/master/csl-citation.json"}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Muhammad Syaafi’i Antonio, </w:t>
      </w:r>
      <w:r w:rsidRPr="00CB3120">
        <w:rPr>
          <w:rFonts w:ascii="Garamond" w:hAnsi="Garamond"/>
          <w:i/>
          <w:noProof/>
        </w:rPr>
        <w:t>Bank Syari’ah: Dari Teori Ke Praktik</w:t>
      </w:r>
      <w:r w:rsidRPr="00CB3120">
        <w:rPr>
          <w:rFonts w:ascii="Garamond" w:hAnsi="Garamond"/>
          <w:noProof/>
        </w:rPr>
        <w:t xml:space="preserve"> (Jakarta: Gema Insani, 2001), 132.</w:t>
      </w:r>
      <w:r w:rsidRPr="00CB3120">
        <w:rPr>
          <w:rFonts w:ascii="Garamond" w:hAnsi="Garamond"/>
        </w:rPr>
        <w:fldChar w:fldCharType="end"/>
      </w:r>
    </w:p>
  </w:footnote>
  <w:footnote w:id="5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47/DSN-MUI/II/2005","given":"Fatwa","non-dropping-particle":"","parse-names":false,"suffix":""}],"container-title":"dsnmui.or.id","id":"ITEM-1","issued":{"date-parts":[["2005"]]},"page":"3","title":"Fatwa no 47/DSN -MUI/II/2005 tentang penyelesaian pembiayaan murabahah bagi nasabah yang tidak mampu","type":"webpage"},"uris":["http://www.mendeley.com/documents/?uuid=df30662f-8c04-4907-b852-349ea021492c"]}],"mendeley":{"formattedCitation":"Fatwa 47/DSN-MUI/II/2005, “Fatwa No 47/DSN -MUI/II/2005 Tentang Penyelesaian Pembiayaan Murabahah Bagi Nasabah Yang Tidak Mampu,” dsnmui.or.id, 2005.","plainTextFormattedCitation":"Fatwa 47/DSN-MUI/II/2005, “Fatwa No 47/DSN -MUI/II/2005 Tentang Penyelesaian Pembiayaan Murabahah Bagi Nasabah Yang Tidak Mampu,” dsnmui.or.id, 2005.","previouslyFormattedCitation":"Fatwa 47/DSN-MUI/II/2005, “Fatwa No 47/DSN -MUI/II/2005 Tentang Penyelesaian Pembiayaan Murabahah Bagi Nasabah Yang Tidak Mampu,” dsnmui.or.id, 2005."},"properties":{"noteIndex":49},"schema":"https://github.com/citation-style-language/schema/raw/master/csl-citation.json"}</w:instrText>
      </w:r>
      <w:r w:rsidRPr="00CB3120">
        <w:rPr>
          <w:rFonts w:ascii="Garamond" w:hAnsi="Garamond"/>
        </w:rPr>
        <w:fldChar w:fldCharType="separate"/>
      </w:r>
      <w:r w:rsidRPr="00CB3120">
        <w:rPr>
          <w:rFonts w:ascii="Garamond" w:hAnsi="Garamond"/>
          <w:noProof/>
        </w:rPr>
        <w:t>Fatwa 47/DSN-MUI/II/2005, “Fatwa No 47/DSN -MUI/II/2005 Tentang Penyelesaian Pembiayaan Murabahah Bagi Nasabah Yang Tidak Mampu,” dsnmui.or.id, 2005.</w:t>
      </w:r>
      <w:r w:rsidRPr="00CB3120">
        <w:rPr>
          <w:rFonts w:ascii="Garamond" w:hAnsi="Garamond"/>
        </w:rPr>
        <w:fldChar w:fldCharType="end"/>
      </w:r>
    </w:p>
  </w:footnote>
  <w:footnote w:id="54">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{"citationItems":[{"id":"ITEM-1","itemData":{"ISBN":"e- 602422801-9, p-978 3925 58 2 297.4","author":[{"dropping-particle":"","family":"Djazuli","given":"H A","non-dropping-particle":"","parse-names":false,"suffix":""}],"id":"ITEM-1","issued":{"date-parts":[["2019"]]},"number-of-pages":"1-242","publisher":"Prenada Media Grup","publisher-place":"Jakarta","title":"Kaidah-Kaidah Fikih","type":"book"},"locator":"10","uris":["http://www.mendeley.com/documents/?uuid=a9ce3a3c-469f-4bc6-9209-411e64485494"]}],"mendeley":{"formattedCitation":"H A Djazuli, &lt;i&gt;Kaidah-Kaidah Fikih&lt;/i&gt; (Jakarta: Prenada Media Grup, 2019), 10.","plainTextFormattedCitation":"H A Djazuli, Kaidah-Kaidah Fikih (Jakarta: Prenada Media Grup, 2019), 10.","previouslyFormattedCitation":"H A Djazuli, &lt;i&gt;Kaidah-Kaidah Fikih&lt;/i&gt; (Jakarta: Prenada Media Grup, 2019), 10."},"properties":{"noteIndex":50},"schema":"https://github.com/citation-style-language/schema/raw/master/csl-citation.json"}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H A Djazuli, </w:t>
      </w:r>
      <w:r w:rsidRPr="00CB3120">
        <w:rPr>
          <w:rFonts w:ascii="Garamond" w:hAnsi="Garamond"/>
          <w:i/>
          <w:noProof/>
        </w:rPr>
        <w:t>Kaidah-Kaidah Fikih</w:t>
      </w:r>
      <w:r w:rsidRPr="00CB3120">
        <w:rPr>
          <w:rFonts w:ascii="Garamond" w:hAnsi="Garamond"/>
          <w:noProof/>
        </w:rPr>
        <w:t xml:space="preserve"> (Jakarta: Prenada Media Grup, 2019), 10.</w:t>
      </w:r>
      <w:r w:rsidRPr="00CB3120">
        <w:rPr>
          <w:rFonts w:ascii="Garamond" w:hAnsi="Garamond"/>
        </w:rPr>
        <w:fldChar w:fldCharType="end"/>
      </w:r>
    </w:p>
  </w:footnote>
  <w:footnote w:id="55">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{"citationItems":[{"id":"ITEM-1","itemData":{"ISBN":"6024227353","author":[{"dropping-particle":"","family":"Djazuli","given":"H A","non-dropping-particle":"","parse-names":false,"suffix":""}],"id":"ITEM-1","issued":{"date-parts":[["2021"]]},"publisher":"Prenada Media","title":"Ilmu Fiqh: Penggalian, Perkembangan, dan Penerapan Hukum Islam. Edisi revisi","type":"book"},"locator":"10","uris":["http://www.mendeley.com/documents/?uuid=af84cf39-eaab-4bfb-b27f-9f8a35b5462e"]}],"mendeley":{"formattedCitation":"H A Djazuli, &lt;i&gt;Ilmu Fiqh: Penggalian, Perkembangan, Dan Penerapan Hukum Islam. Edisi Revisi&lt;/i&gt; (Prenada Media, 2021), 10.","plainTextFormattedCitation":"H A Djazuli, Ilmu Fiqh: Penggalian, Perkembangan, Dan Penerapan Hukum Islam. Edisi Revisi (Prenada Media, 2021), 10.","previouslyFormattedCitation":"H A Djazuli, &lt;i&gt;Ilmu Fiqh: Penggalian, Perkembangan, Dan Penerapan Hukum Islam. Edisi Revisi&lt;/i&gt; (Prenada Media, 2021), 10."},"properties":{"noteIndex":51},"schema":"https://github.com/citation-style-language/schema/raw/master/csl-citation.json"}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H A Djazuli, </w:t>
      </w:r>
      <w:r w:rsidRPr="00CB3120">
        <w:rPr>
          <w:rFonts w:ascii="Garamond" w:hAnsi="Garamond"/>
          <w:i/>
          <w:noProof/>
        </w:rPr>
        <w:t>Ilmu Fiqh: Penggalian, Perkembangan, Dan Penerapan Hukum Islam. Edisi Revisi</w:t>
      </w:r>
      <w:r w:rsidRPr="00CB3120">
        <w:rPr>
          <w:rFonts w:ascii="Garamond" w:hAnsi="Garamond"/>
          <w:noProof/>
        </w:rPr>
        <w:t xml:space="preserve"> (Prenada Media, 2021), 10.</w:t>
      </w:r>
      <w:r w:rsidRPr="00CB3120">
        <w:rPr>
          <w:rFonts w:ascii="Garamond" w:hAnsi="Garamond"/>
        </w:rPr>
        <w:fldChar w:fldCharType="end"/>
      </w:r>
    </w:p>
  </w:footnote>
  <w:footnote w:id="56">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{"citationItems":[{"id":"ITEM-1","itemData":{"DOI":"https://doi.org/10.14421/grieb.2015.031-03","author":[{"dropping-particle":"","family":"Agus Saur Utomo, Novita Kusuma Maharani","given":"Danes Quirira Octavio","non-dropping-particle":"","parse-names":false,"suffix":""}],"id":"ITEM-1","issue":"1","issued":{"date-parts":[["2015"]]},"page":"38-45","title":"FINANCIAL DETERMINANTS OF QARDHUL HASAN FINANCING GROWTH: EVIDENCE FROM ISLAMIC BANKS IN INDONESIA","type":"article-journal","volume":"3"},"locator":"38","uris":["http://www.mendeley.com/documents/?uuid=1022702f-9a2e-4d53-9206-441b90d1bc9b"]}],"mendeley":{"formattedCitation":"Danes Quirira Octavio Agus Saur Utomo, Novita Kusuma Maharani, “FINANCIAL DETERMINANTS OF QARDHUL HASAN FINANCING GROWTH: EVIDENCE FROM ISLAMIC BANKS IN INDONESIA” 3, no. 1 (2015): 38, https://doi.org/https://doi.org/10.14421/grieb.2015.031-03.","manualFormatting":"Danes Quirira Octavio Agus Saur Utomo, Novita Kusuma Maharani, “Financial Determinants Of Qardhul Hasan Financing Growth: Evidence From Islamic Banks In Indonesia” 3, no. 1 (2015): 38, https://doi.org/https://doi.org/10.14421/grieb.2015.031-03.","plainTextFormattedCitation":"Danes Quirira Octavio Agus Saur Utomo, Novita Kusuma Maharani, “FINANCIAL DETERMINANTS OF QARDHUL HASAN FINANCING GROWTH: EVIDENCE FROM ISLAMIC BANKS IN INDONESIA” 3, no. 1 (2015): 38, https://doi.org/https://doi.org/10.14421/grieb.2015.031-03.","previouslyFormattedCitation":"Danes Quirira Octavio Agus Saur Utomo, Novita Kusuma Maharani, “FINANCIAL DETERMINANTS OF QARDHUL HASAN FINANCING GROWTH: EVIDENCE FROM ISLAMIC BANKS IN INDONESIA” 3, no. 1 (2015): 38, https://doi.org/https://doi.org/10.14421/grieb.2015.031-03."},"properties":{"noteIndex":52},"schema":"https://github.com/citation-style-language/schema/raw/master/csl-citation.json"}</w:instrText>
      </w:r>
      <w:r w:rsidRPr="00CB3120">
        <w:rPr>
          <w:rFonts w:ascii="Garamond" w:hAnsi="Garamond"/>
        </w:rPr>
        <w:fldChar w:fldCharType="separate"/>
      </w:r>
      <w:r w:rsidRPr="00CB3120">
        <w:rPr>
          <w:rFonts w:ascii="Garamond" w:hAnsi="Garamond"/>
          <w:noProof/>
        </w:rPr>
        <w:t>Danes Quirira Octavio Agus Saur Utomo, Novita Kusuma Maharani, “Financial Determinants Of Qardhul Hasan Financing Growth: Evidence From Islamic Banks In Indonesia” 3, no. 1 (2015): 38, https://doi.org/https://doi.org/10.14421/grieb.2015.031-03.</w:t>
      </w:r>
      <w:r w:rsidRPr="00CB3120">
        <w:rPr>
          <w:rFonts w:ascii="Garamond" w:hAnsi="Garamond"/>
        </w:rPr>
        <w:fldChar w:fldCharType="end"/>
      </w:r>
    </w:p>
  </w:footnote>
  <w:footnote w:id="57">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URL":"https://dsnmui.or.id","author":[{"dropping-particle":"","family":"DSN-MUI","given":"","non-dropping-particle":"","parse-names":false,"suffix":""}],"container-title":"dsnmui.or.id","id":"ITEM-1","issued":{"date-parts":[["2005"]]},"publisher":"DSN-MUI","publisher-place":"jakarta","title":"Fatwa no 46/DSN-MUI/II/2005 tentang potongan tagihan murabahah","type":"webpage"},"uris":["http://www.mendeley.com/documents/?uuid=4a682955-3fe8-48d9-a384-fa62f561dd21"]}],"mendeley":{"formattedCitation":"DSN-MUI, “Fatwa No 46/DSN-MUI/II/2005 Tentang Potongan Tagihan Murabahah,” dsnmui.or.id (jakarta: DSN-MUI, 2005), https://dsnmui.or.id.","manualFormatting":"(DSN-MUI/II 2005)","plainTextFormattedCitation":"DSN-MUI, “Fatwa No 46/DSN-MUI/II/2005 Tentang Potongan Tagihan Murabahah,” dsnmui.or.id (jakarta: DSN-MUI, 2005), https://dsnmui.or.id.","previouslyFormattedCitation":"DSN-MUI, “Fatwa No 46/DSN-MUI/II/2005 Tentang Potongan Tagihan Murabahah,” dsnmui.or.id (jakarta: DSN-MUI, 2005), https://dsnmui.or.id."},"properties":{"noteIndex":53},"schema":"https://github.com/citation-style-language/schema/raw/master/csl-citation.json"}</w:instrText>
      </w:r>
      <w:r w:rsidRPr="00CB3120">
        <w:rPr>
          <w:rFonts w:ascii="Garamond" w:hAnsi="Garamond"/>
        </w:rPr>
        <w:fldChar w:fldCharType="separate"/>
      </w:r>
      <w:r w:rsidRPr="00CB3120">
        <w:rPr>
          <w:rFonts w:ascii="Garamond" w:hAnsi="Garamond"/>
          <w:noProof/>
        </w:rPr>
        <w:t>(DSN-MUI/II 2005)</w:t>
      </w:r>
      <w:r w:rsidRPr="00CB3120">
        <w:rPr>
          <w:rFonts w:ascii="Garamond" w:hAnsi="Garamond"/>
        </w:rPr>
        <w:fldChar w:fldCharType="end"/>
      </w:r>
    </w:p>
  </w:footnote>
  <w:footnote w:id="58">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47/DSN-MUI/II/2005","given":"Fatwa","non-dropping-particle":"","parse-names":false,"suffix":""}],"container-title":"dsnmui.or.id","id":"ITEM-1","issued":{"date-parts":[["2005"]]},"page":"3","title":"Fatwa no 47/DSN -MUI/II/2005 tentang penyelesaian pembiayaan murabahah bagi nasabah yang tidak mampu","type":"webpage"},"uris":["http://www.mendeley.com/documents/?uuid=df30662f-8c04-4907-b852-349ea021492c"]}],"mendeley":{"formattedCitation":"47/DSN-MUI/II/2005, “Fatwa No 47/DSN -MUI/II/2005 Tentang Penyelesaian Pembiayaan Murabahah Bagi Nasabah Yang Tidak Mampu.”","plainTextFormattedCitation":"47/DSN-MUI/II/2005, “Fatwa No 47/DSN -MUI/II/2005 Tentang Penyelesaian Pembiayaan Murabahah Bagi Nasabah Yang Tidak Mampu.”","previouslyFormattedCitation":"47/DSN-MUI/II/2005, “Fatwa No 47/DSN -MUI/II/2005 Tentang Penyelesaian Pembiayaan Murabahah Bagi Nasabah Yang Tidak Mampu.”"},"properties":{"noteIndex":54},"schema":"https://github.com/citation-style-language/schema/raw/master/csl-citation.json"}</w:instrText>
      </w:r>
      <w:r w:rsidRPr="00CB3120">
        <w:rPr>
          <w:rFonts w:ascii="Garamond" w:hAnsi="Garamond"/>
        </w:rPr>
        <w:fldChar w:fldCharType="separate"/>
      </w:r>
      <w:r w:rsidRPr="00CB3120">
        <w:rPr>
          <w:rFonts w:ascii="Garamond" w:hAnsi="Garamond"/>
          <w:noProof/>
        </w:rPr>
        <w:t>47/DSN-MUI/II/2005, “Fatwa No 47/DSN -MUI/II/2005 Tentang Penyelesaian Pembiayaan Murabahah Bagi Nasabah Yang Tidak Mampu.”</w:t>
      </w:r>
      <w:r w:rsidRPr="00CB3120">
        <w:rPr>
          <w:rFonts w:ascii="Garamond" w:hAnsi="Garamond"/>
        </w:rPr>
        <w:fldChar w:fldCharType="end"/>
      </w:r>
    </w:p>
  </w:footnote>
  <w:footnote w:id="59">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{"citationItems":[{"id":"ITEM-1","itemData":{"abstract":"istithâ‘ah, fatwâ, hajj Abstrak:","author":[{"dropping-particle":"","family":"Mubarok","given":"Jaih","non-dropping-particle":"","parse-names":false,"suffix":""},{"dropping-particle":"","family":"Hasanudin","given":"","non-dropping-particle":"","parse-names":false,"suffix":""}],"container-title":"Al-Iqtishad: Jurnal Ilmu Ekonomi Syariah (Journal of Islamic Economics)","id":"ITEM-1","issue":"1","issued":{"date-parts":[["2013"]]},"title":"Pengurusan Dana Haji Dan Status Dana Calon Haji Daftar Tunggu","type":"article-journal","volume":"5"},"locator":"27","uris":["http://www.mendeley.com/documents/?uuid=7e4e1bc1-9f71-4e8d-8e6f-ab0c5f789129"]}],"mendeley":{"formattedCitation":"Jaih Mubarok and Hasanudin, “Pengurusan Dana Haji Dan Status Dana Calon Haji Daftar Tunggu,” &lt;i&gt;Al-Iqtishad: Jurnal Ilmu Ekonomi Syariah (Journal of Islamic Economics)&lt;/i&gt; 5, no. 1 (2013): 27.","plainTextFormattedCitation":"Jaih Mubarok and Hasanudin, “Pengurusan Dana Haji Dan Status Dana Calon Haji Daftar Tunggu,” Al-Iqtishad: Jurnal Ilmu Ekonomi Syariah (Journal of Islamic Economics) 5, no. 1 (2013): 27.","previouslyFormattedCitation":"Jaih Mubarok and Hasanudin, “Pengurusan Dana Haji Dan Status Dana Calon Haji Daftar Tunggu,” &lt;i&gt;Al-Iqtishad: Jurnal Ilmu Ekonomi Syariah (Journal of Islamic Economics)&lt;/i&gt; 5, no. 1 (2013): 27."},"properties":{"noteIndex":55},"schema":"https://github.com/citation-style-language/schema/raw/master/csl-citation.json"}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Jaih Mubarok and Hasanudin, “Pengurusan Dana Haji Dan Status Dana Calon Haji Daftar Tunggu,” </w:t>
      </w:r>
      <w:r w:rsidRPr="00CB3120">
        <w:rPr>
          <w:rFonts w:ascii="Garamond" w:hAnsi="Garamond"/>
          <w:i/>
          <w:noProof/>
        </w:rPr>
        <w:t>Al-Iqtishad: Jurnal Ilmu Ekonomi Syariah (Journal of Islamic Economics)</w:t>
      </w:r>
      <w:r w:rsidRPr="00CB3120">
        <w:rPr>
          <w:rFonts w:ascii="Garamond" w:hAnsi="Garamond"/>
          <w:noProof/>
        </w:rPr>
        <w:t xml:space="preserve"> 5, no. 1 (2013): 27.</w:t>
      </w:r>
      <w:r w:rsidRPr="00CB3120">
        <w:rPr>
          <w:rFonts w:ascii="Garamond" w:hAnsi="Garamond"/>
        </w:rPr>
        <w:fldChar w:fldCharType="end"/>
      </w:r>
    </w:p>
  </w:footnote>
  <w:footnote w:id="60">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{"citationItems":[{"id":"ITEM-1","itemData":{"author":[{"dropping-particle":"","family":"48/DSN-MUI/II/2005","given":"","non-dropping-particle":"","parse-names":false,"suffix":""}],"container-title":"dsnmui.or.id","id":"ITEM-1","issued":{"date-parts":[["2005"]]},"title":"Fatwa no 48/DSN-MUI/II/2005 tentang penjadwalan kembali tagihan murabahah","type":"webpage"},"uris":["http://www.mendeley.com/documents/?uuid=ad7aaef1-f016-4d0d-98d8-ff6181fb4b02"]}],"mendeley":{"formattedCitation":"48/DSN-MUI/II/2005, “Fatwa No 48/DSN-MUI/II/2005 Tentang Penjadwalan Kembali Tagihan Murabahah,” dsnmui.or.id, 2005.","manualFormatting":"(48/DSN-MUI/II/2005 ","plainTextFormattedCitation":"48/DSN-MUI/II/2005, “Fatwa No 48/DSN-MUI/II/2005 Tentang Penjadwalan Kembali Tagihan Murabahah,” dsnmui.or.id, 2005.","previouslyFormattedCitation":"48/DSN-MUI/II/2005, “Fatwa No 48/DSN-MUI/II/2005 Tentang Penjadwalan Kembali Tagihan Murabahah,” dsnmui.or.id, 2005."},"properties":{"noteIndex":56},"schema":"https://github.com/citation-style-language/schema/raw/master/csl-citation.json"}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(48/DSN-MUI/II/2005 </w:t>
      </w:r>
      <w:r w:rsidRPr="00CB3120">
        <w:rPr>
          <w:rFonts w:ascii="Garamond" w:hAnsi="Garamond"/>
        </w:rPr>
        <w:fldChar w:fldCharType="end"/>
      </w:r>
      <w:r w:rsidRPr="00CB3120">
        <w:rPr>
          <w:rFonts w:ascii="Garamond" w:hAnsi="Garamond"/>
        </w:rPr>
        <w:t xml:space="preserve">), </w:t>
      </w:r>
      <w:r w:rsidRPr="00CB3120">
        <w:rPr>
          <w:rFonts w:ascii="Garamond" w:hAnsi="Garamond"/>
          <w:noProof/>
        </w:rPr>
        <w:t>Tentang Penjadwalan Kembali Tagihan Murabahah.” dsnmui.or.id, 2005. Diakses 25 Januari 2022</w:t>
      </w:r>
    </w:p>
  </w:footnote>
  <w:footnote w:id="61">
    <w:p w:rsidR="00CB3120" w:rsidRPr="00CB3120" w:rsidRDefault="00CB3120" w:rsidP="003B7CB5">
      <w:pPr>
        <w:widowControl w:val="0"/>
        <w:autoSpaceDE w:val="0"/>
        <w:autoSpaceDN w:val="0"/>
        <w:adjustRightInd w:val="0"/>
        <w:ind w:firstLine="567"/>
        <w:jc w:val="both"/>
        <w:rPr>
          <w:rFonts w:ascii="Garamond" w:hAnsi="Garamond"/>
          <w:noProof/>
          <w:sz w:val="20"/>
          <w:szCs w:val="20"/>
        </w:rPr>
      </w:pPr>
      <w:r w:rsidRPr="00CB3120">
        <w:rPr>
          <w:rStyle w:val="FootnoteReference"/>
          <w:rFonts w:ascii="Garamond" w:hAnsi="Garamond"/>
          <w:sz w:val="20"/>
          <w:szCs w:val="20"/>
        </w:rPr>
        <w:footnoteRef/>
      </w:r>
      <w:r w:rsidRPr="00CB3120">
        <w:rPr>
          <w:rFonts w:ascii="Garamond" w:hAnsi="Garamond"/>
          <w:sz w:val="20"/>
          <w:szCs w:val="20"/>
        </w:rPr>
        <w:fldChar w:fldCharType="begin" w:fldLock="1"/>
      </w:r>
      <w:r w:rsidRPr="00CB3120">
        <w:rPr>
          <w:rFonts w:ascii="Garamond" w:hAnsi="Garamond"/>
          <w:sz w:val="20"/>
          <w:szCs w:val="20"/>
        </w:rPr>
        <w:instrText>ADDIN CSL_CITATION {"citationItems":[{"id":"ITEM-1","itemData":{"URL":"© 2020 Dewan Syariah Nasional - Majelis Ulama Indonesia","author":[{"dropping-particle":"","family":"04/DSN-MUI/IV/2000","given":"","non-dropping-particle":"","parse-names":false,"suffix":""}],"container-title":"dsn.go.id","id":"ITEM-1","issued":{"date-parts":[["2020"]]},"title":"fatwa no 4/DSN-MUI/IV/2000","type":"webpage"},"uris":["http://www.mendeley.com/documents/?uuid=d73de2e9-46f8-4bad-a5a2-bbd7e7c2ebad"]}],"mendeley":{"formattedCitation":"04/DSN-MUI/IV/2000, “Fatwa No 4/DSN-MUI/IV/2000,” dsn.go.id, 2020, © 2020 Dewan Syariah Nasional - Majelis Ulama Indonesia.","manualFormatting":"(04/DSN-MUI/IV/2000)","plainTextFormattedCitation":"04/DSN-MUI/IV/2000, “Fatwa No 4/DSN-MUI/IV/2000,” dsn.go.id, 2020, © 2020 Dewan Syariah Nasional - Majelis Ulama Indonesia.","previouslyFormattedCitation":"04/DSN-MUI/IV/2000, “Fatwa No 4/DSN-MUI/IV/2000,” dsn.go.id, 2020, © 2020 Dewan Syariah Nasional - Majelis Ulama Indonesia."},"properties":{"noteIndex":57},"schema":"https://github.com/citation-style-language/schema/raw/master/csl-citation.json"}</w:instrText>
      </w:r>
      <w:r w:rsidRPr="00CB3120">
        <w:rPr>
          <w:rFonts w:ascii="Garamond" w:hAnsi="Garamond"/>
          <w:sz w:val="20"/>
          <w:szCs w:val="20"/>
        </w:rPr>
        <w:fldChar w:fldCharType="separate"/>
      </w:r>
      <w:proofErr w:type="gramStart"/>
      <w:r w:rsidRPr="00CB3120">
        <w:rPr>
          <w:rFonts w:ascii="Garamond" w:hAnsi="Garamond"/>
          <w:noProof/>
          <w:sz w:val="20"/>
          <w:szCs w:val="20"/>
        </w:rPr>
        <w:t>(04/DSN-MUI/IV/2000)</w:t>
      </w:r>
      <w:r w:rsidRPr="00CB3120">
        <w:rPr>
          <w:rFonts w:ascii="Garamond" w:hAnsi="Garamond"/>
          <w:sz w:val="20"/>
          <w:szCs w:val="20"/>
        </w:rPr>
        <w:fldChar w:fldCharType="end"/>
      </w:r>
      <w:r w:rsidRPr="00CB3120">
        <w:rPr>
          <w:rFonts w:ascii="Garamond" w:hAnsi="Garamond"/>
          <w:sz w:val="20"/>
          <w:szCs w:val="20"/>
        </w:rPr>
        <w:t xml:space="preserve">, </w:t>
      </w:r>
      <w:r w:rsidRPr="00CB3120">
        <w:rPr>
          <w:rFonts w:ascii="Garamond" w:hAnsi="Garamond"/>
          <w:noProof/>
          <w:sz w:val="20"/>
          <w:szCs w:val="20"/>
        </w:rPr>
        <w:t>Tentang Murabahah.</w:t>
      </w:r>
      <w:proofErr w:type="gramEnd"/>
      <w:r w:rsidRPr="00CB3120">
        <w:rPr>
          <w:rFonts w:ascii="Garamond" w:hAnsi="Garamond"/>
          <w:noProof/>
          <w:sz w:val="20"/>
          <w:szCs w:val="20"/>
        </w:rPr>
        <w:t xml:space="preserve"> dsn.go.id, 2020. © 2020 Dewan Syariah Nasional - Majelis Ulama Indonesia.</w:t>
      </w:r>
    </w:p>
  </w:footnote>
  <w:footnote w:id="62">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{"citationItems":[{"id":"ITEM-1","itemData":{"author":[{"dropping-particle":"","family":"Hanafi","given":"Syafiq M","non-dropping-particle":"","parse-names":false,"suffix":""}],"id":"ITEM-1","issue":"1","issued":{"date-parts":[["2013"]]},"page":"46-60","title":"FINANCIAL RISK MANAGEMENT IN SYARIAH CONTRACTS : A Review of Current Literature","type":"article-journal","volume":"XXXVII"},"locator":"50","uris":["http://www.mendeley.com/documents/?uuid=39cd91be-3757-443b-a2b5-c45f2fd88d81"]}],"mendeley":{"formattedCitation":"Syafiq M Hanafi, “FINANCIAL RISK MANAGEMENT IN SYARIAH CONTRACTS</w:instrText>
      </w:r>
      <w:r w:rsidRPr="00CB3120">
        <w:instrText> </w:instrText>
      </w:r>
      <w:r w:rsidRPr="00CB3120">
        <w:rPr>
          <w:rFonts w:ascii="Garamond" w:hAnsi="Garamond"/>
        </w:rPr>
        <w:instrText>: A Review of Current Literature” XXXVII, no. 1 (2013): 50.","manualFormatting":"Syafiq M Hanafi, “Financial Risk Management In Syariah Contracts</w:instrText>
      </w:r>
      <w:r w:rsidRPr="00CB3120">
        <w:instrText> </w:instrText>
      </w:r>
      <w:r w:rsidRPr="00CB3120">
        <w:rPr>
          <w:rFonts w:ascii="Garamond" w:hAnsi="Garamond"/>
        </w:rPr>
        <w:instrText>: A Review of Current Literature” XXXVII, no. 1 (2013): 50.","plainTextFormattedCitation":"Syafiq M Hanafi, “FINANCIAL RISK MANAGEMENT IN SYARIAH CONTRACTS</w:instrText>
      </w:r>
      <w:r w:rsidRPr="00CB3120">
        <w:instrText> </w:instrText>
      </w:r>
      <w:r w:rsidRPr="00CB3120">
        <w:rPr>
          <w:rFonts w:ascii="Garamond" w:hAnsi="Garamond"/>
        </w:rPr>
        <w:instrText>: A Review of Current Literature” XXXVII, no. 1 (2013): 50.","previouslyFormattedCitation":"Syafiq M Hanafi, “FINANCIAL RISK MANAGEMENT IN SYARIAH CONTRACTS</w:instrText>
      </w:r>
      <w:r w:rsidRPr="00CB3120">
        <w:instrText> </w:instrText>
      </w:r>
      <w:r w:rsidRPr="00CB3120">
        <w:rPr>
          <w:rFonts w:ascii="Garamond" w:hAnsi="Garamond"/>
        </w:rPr>
        <w:instrText>: A Review of Current Literature” XXXVII, no. 1 (2013): 50."},"properties":{"noteIndex":58},"schema":"https://github.com/citation-style-language/schema/raw/master/csl-citation.json"}</w:instrText>
      </w:r>
      <w:r w:rsidRPr="00CB3120">
        <w:rPr>
          <w:rFonts w:ascii="Garamond" w:hAnsi="Garamond"/>
        </w:rPr>
        <w:fldChar w:fldCharType="separate"/>
      </w:r>
      <w:r w:rsidRPr="00CB3120">
        <w:rPr>
          <w:rFonts w:ascii="Garamond" w:hAnsi="Garamond"/>
          <w:noProof/>
        </w:rPr>
        <w:t>Syafiq M Hanafi, “Financial Risk Management In Syariah Contracts</w:t>
      </w:r>
      <w:r w:rsidRPr="00CB3120">
        <w:rPr>
          <w:noProof/>
        </w:rPr>
        <w:t> </w:t>
      </w:r>
      <w:r w:rsidRPr="00CB3120">
        <w:rPr>
          <w:rFonts w:ascii="Garamond" w:hAnsi="Garamond"/>
          <w:noProof/>
        </w:rPr>
        <w:t>: A Review of Current Literature” XXXVII, no. 1 (2013): 50.</w:t>
      </w:r>
      <w:r w:rsidRPr="00CB3120">
        <w:rPr>
          <w:rFonts w:ascii="Garamond" w:hAnsi="Garamond"/>
        </w:rPr>
        <w:fldChar w:fldCharType="end"/>
      </w:r>
    </w:p>
  </w:footnote>
  <w:footnote w:id="63">
    <w:p w:rsidR="00CB3120" w:rsidRPr="00CB3120" w:rsidRDefault="00CB3120" w:rsidP="003B7CB5">
      <w:pPr>
        <w:pStyle w:val="FootnoteText"/>
        <w:ind w:firstLine="567"/>
        <w:jc w:val="both"/>
        <w:rPr>
          <w:rFonts w:ascii="Garamond" w:hAnsi="Garamond"/>
        </w:rPr>
      </w:pPr>
      <w:r w:rsidRPr="00CB3120">
        <w:rPr>
          <w:rStyle w:val="FootnoteReference"/>
          <w:rFonts w:ascii="Garamond" w:hAnsi="Garamond"/>
        </w:rPr>
        <w:footnoteRef/>
      </w:r>
      <w:r w:rsidRPr="00CB3120">
        <w:rPr>
          <w:rFonts w:ascii="Garamond" w:hAnsi="Garamond"/>
        </w:rPr>
        <w:fldChar w:fldCharType="begin" w:fldLock="1"/>
      </w:r>
      <w:r w:rsidRPr="00CB3120">
        <w:rPr>
          <w:rFonts w:ascii="Garamond" w:hAnsi="Garamond"/>
        </w:rPr>
        <w:instrText>ADDIN CSL_CITATION {"citationItems":[{"id":"ITEM-1","itemData":{"PMID":"109","abstract":"Kahf, M. (2006, August). Maqasid al Shari’ah in the Prohibition of Riba and their Implications for Modern Islamic Finance. In Presented Paper at IIUM International Conference on Maqasid Al-Shari’ah.","author":[{"dropping-particle":"","family":"Kahf","given":"Monzer","non-dropping-particle":"","parse-names":false,"suffix":""}],"container-title":"IIUM International Conference on Maqasid al Shari'ah","id":"ITEM-1","issued":{"date-parts":[["2006"]]},"page":"184-203","title":"Maqasid al Shari ’ ah in the Prohibition of Riba and their Implications for Modern Islamic Finance","type":"article-journal"},"locator":"13","uris":["http://www.mendeley.com/documents/?uuid=164520dc-a3c9-42eb-b754-f3fc7e321755"]}],"mendeley":{"formattedCitation":"Monzer Kahf, “Maqasid Al Shari ’ Ah in the Prohibition of Riba and Their Implications for Modern Islamic Finance,” &lt;i&gt;IIUM International Conference on Maqasid Al Shari’ah&lt;/i&gt;, 2006, 13.","plainTextFormattedCitation":"Monzer Kahf, “Maqasid Al Shari ’ Ah in the Prohibition of Riba and Their Implications for Modern Islamic Finance,” IIUM International Conference on Maqasid Al Shari’ah, 2006, 13.","previouslyFormattedCitation":"Monzer Kahf, “Maqasid Al Shari ’ Ah in the Prohibition of Riba and Their Implications for Modern Islamic Finance,” &lt;i&gt;IIUM International Conference on Maqasid Al Shari’ah&lt;/i&gt;, 2006, 13."},"properties":{"noteIndex":59},"schema":"https://github.com/citation-style-language/schema/raw/master/csl-citation.json"}</w:instrText>
      </w:r>
      <w:r w:rsidRPr="00CB3120">
        <w:rPr>
          <w:rFonts w:ascii="Garamond" w:hAnsi="Garamond"/>
        </w:rPr>
        <w:fldChar w:fldCharType="separate"/>
      </w:r>
      <w:r w:rsidRPr="00CB3120">
        <w:rPr>
          <w:rFonts w:ascii="Garamond" w:hAnsi="Garamond"/>
          <w:noProof/>
        </w:rPr>
        <w:t xml:space="preserve">Monzer Kahf, “Maqasid Al Shari ’ Ah in the Prohibition of Riba and Their Implications for Modern Islamic Finance,” </w:t>
      </w:r>
      <w:r w:rsidRPr="00CB3120">
        <w:rPr>
          <w:rFonts w:ascii="Garamond" w:hAnsi="Garamond"/>
          <w:i/>
          <w:noProof/>
        </w:rPr>
        <w:t>IIUM International Conference on Maqasid Al Shari’ah</w:t>
      </w:r>
      <w:r w:rsidRPr="00CB3120">
        <w:rPr>
          <w:rFonts w:ascii="Garamond" w:hAnsi="Garamond"/>
          <w:noProof/>
        </w:rPr>
        <w:t>, 2006, 13.</w:t>
      </w:r>
      <w:r w:rsidRPr="00CB3120">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120" w:rsidRPr="006F0F44" w:rsidRDefault="00CB3120" w:rsidP="006F0F44">
    <w:pPr>
      <w:pStyle w:val="Authors"/>
      <w:rPr>
        <w:rFonts w:ascii="Garamond" w:hAnsi="Garamond"/>
        <w:vertAlign w:val="superscript"/>
        <w:lang w:val="id-ID"/>
      </w:rPr>
    </w:pPr>
    <w:r w:rsidRPr="006F0F44">
      <w:rPr>
        <w:rFonts w:ascii="Garamond" w:hAnsi="Garamond"/>
      </w:rPr>
      <w:t xml:space="preserve">~ </w:t>
    </w:r>
    <w:r w:rsidRPr="00C21092">
      <w:rPr>
        <w:rFonts w:ascii="Garamond" w:hAnsi="Garamond"/>
        <w:bCs/>
      </w:rPr>
      <w:t xml:space="preserve">Endah </w:t>
    </w:r>
    <w:proofErr w:type="spellStart"/>
    <w:r w:rsidRPr="00C21092">
      <w:rPr>
        <w:rFonts w:ascii="Garamond" w:hAnsi="Garamond"/>
        <w:bCs/>
      </w:rPr>
      <w:t>Robiatul</w:t>
    </w:r>
    <w:proofErr w:type="spellEnd"/>
    <w:r w:rsidRPr="00C21092">
      <w:rPr>
        <w:rFonts w:ascii="Garamond" w:hAnsi="Garamond"/>
        <w:b w:val="0"/>
        <w:bCs/>
      </w:rPr>
      <w:t xml:space="preserve"> </w:t>
    </w:r>
    <w:r>
      <w:rPr>
        <w:rFonts w:ascii="Garamond" w:hAnsi="Garamond"/>
        <w:bCs/>
      </w:rPr>
      <w:t>A</w:t>
    </w:r>
    <w:r>
      <w:rPr>
        <w:rFonts w:ascii="Garamond" w:hAnsi="Garamond"/>
        <w:bCs/>
        <w:lang w:val="id-ID"/>
      </w:rPr>
      <w:t>.</w:t>
    </w:r>
    <w:r w:rsidRPr="00C21092">
      <w:rPr>
        <w:rFonts w:ascii="Garamond" w:hAnsi="Garamond"/>
        <w:bCs/>
      </w:rPr>
      <w:t>,</w:t>
    </w:r>
    <w:r w:rsidRPr="00C21092">
      <w:rPr>
        <w:rFonts w:ascii="Garamond" w:hAnsi="Garamond"/>
        <w:b w:val="0"/>
        <w:bCs/>
      </w:rPr>
      <w:t xml:space="preserve"> </w:t>
    </w:r>
    <w:r w:rsidRPr="00C21092">
      <w:rPr>
        <w:rFonts w:ascii="Garamond" w:hAnsi="Garamond"/>
      </w:rPr>
      <w:t xml:space="preserve">Rudi </w:t>
    </w:r>
    <w:proofErr w:type="spellStart"/>
    <w:r w:rsidRPr="00C21092">
      <w:rPr>
        <w:rFonts w:ascii="Garamond" w:hAnsi="Garamond"/>
      </w:rPr>
      <w:t>Setiadi</w:t>
    </w:r>
    <w:proofErr w:type="spellEnd"/>
    <w:r w:rsidRPr="00C21092">
      <w:rPr>
        <w:rFonts w:ascii="Garamond" w:hAnsi="Garamond"/>
        <w:bCs/>
      </w:rPr>
      <w:t>,</w:t>
    </w:r>
    <w:r w:rsidRPr="00C21092">
      <w:rPr>
        <w:rFonts w:ascii="Garamond" w:hAnsi="Garamond"/>
        <w:b w:val="0"/>
        <w:bCs/>
      </w:rPr>
      <w:t xml:space="preserve"> </w:t>
    </w:r>
    <w:proofErr w:type="spellStart"/>
    <w:r w:rsidRPr="00C21092">
      <w:rPr>
        <w:rFonts w:ascii="Garamond" w:hAnsi="Garamond"/>
        <w:bCs/>
      </w:rPr>
      <w:t>Dadang</w:t>
    </w:r>
    <w:proofErr w:type="spellEnd"/>
    <w:r w:rsidRPr="00C21092">
      <w:rPr>
        <w:rFonts w:ascii="Garamond" w:hAnsi="Garamond"/>
        <w:bCs/>
      </w:rPr>
      <w:t xml:space="preserve"> R</w:t>
    </w:r>
    <w:r>
      <w:rPr>
        <w:rFonts w:ascii="Garamond" w:hAnsi="Garamond"/>
        <w:bCs/>
        <w:lang w:val="id-ID"/>
      </w:rPr>
      <w:t>.</w:t>
    </w:r>
    <w:r w:rsidRPr="00C21092">
      <w:rPr>
        <w:rFonts w:ascii="Garamond" w:hAnsi="Garamond"/>
        <w:b w:val="0"/>
        <w:bCs/>
      </w:rPr>
      <w:t xml:space="preserve">, </w:t>
    </w:r>
    <w:proofErr w:type="spellStart"/>
    <w:r w:rsidRPr="00C21092">
      <w:rPr>
        <w:rFonts w:ascii="Garamond" w:hAnsi="Garamond"/>
        <w:bCs/>
      </w:rPr>
      <w:t>Udin</w:t>
    </w:r>
    <w:proofErr w:type="spellEnd"/>
    <w:r w:rsidRPr="00C21092">
      <w:rPr>
        <w:rFonts w:ascii="Garamond" w:hAnsi="Garamond"/>
      </w:rPr>
      <w:t xml:space="preserve"> </w:t>
    </w:r>
    <w:proofErr w:type="spellStart"/>
    <w:r w:rsidRPr="00C21092">
      <w:rPr>
        <w:rFonts w:ascii="Garamond" w:hAnsi="Garamond"/>
      </w:rPr>
      <w:t>Wahrudin</w:t>
    </w:r>
    <w:proofErr w:type="spellEnd"/>
    <w:r w:rsidRPr="00C21092">
      <w:rPr>
        <w:rFonts w:ascii="Garamond" w:hAnsi="Garamond"/>
      </w:rPr>
      <w:t>,</w:t>
    </w:r>
    <w:r w:rsidRPr="00C21092">
      <w:rPr>
        <w:rFonts w:ascii="Garamond" w:hAnsi="Garamond"/>
        <w:b w:val="0"/>
      </w:rPr>
      <w:t xml:space="preserve"> &amp;</w:t>
    </w:r>
    <w:r w:rsidRPr="00C21092">
      <w:rPr>
        <w:rFonts w:ascii="Garamond" w:hAnsi="Garamond"/>
      </w:rPr>
      <w:t xml:space="preserve"> </w:t>
    </w:r>
    <w:proofErr w:type="spellStart"/>
    <w:r w:rsidRPr="00C21092">
      <w:rPr>
        <w:rFonts w:ascii="Garamond" w:hAnsi="Garamond"/>
      </w:rPr>
      <w:t>Inayatul</w:t>
    </w:r>
    <w:proofErr w:type="spellEnd"/>
    <w:r w:rsidRPr="00C21092">
      <w:rPr>
        <w:rFonts w:ascii="Garamond" w:hAnsi="Garamond"/>
      </w:rPr>
      <w:t xml:space="preserve"> </w:t>
    </w:r>
    <w:proofErr w:type="spellStart"/>
    <w:r w:rsidRPr="00C21092">
      <w:rPr>
        <w:rFonts w:ascii="Garamond" w:hAnsi="Garamond"/>
      </w:rPr>
      <w:t>Ummah</w:t>
    </w:r>
    <w:proofErr w:type="spellEnd"/>
    <w:r w:rsidRPr="006F0F44">
      <w:rPr>
        <w:rFonts w:ascii="Garamond" w:hAnsi="Garamond"/>
        <w:lang w:val="id-ID"/>
      </w:rPr>
      <w:t>:</w:t>
    </w:r>
  </w:p>
  <w:p w:rsidR="00CB3120" w:rsidRPr="006F0F44" w:rsidRDefault="00CB3120" w:rsidP="006F0F44">
    <w:pPr>
      <w:pStyle w:val="Authors"/>
      <w:rPr>
        <w:rFonts w:ascii="Garamond" w:hAnsi="Garamond"/>
        <w:vertAlign w:val="superscript"/>
        <w:lang w:val="id-ID"/>
      </w:rPr>
    </w:pPr>
    <w:r w:rsidRPr="000E0E96">
      <w:rPr>
        <w:rFonts w:ascii="Garamond" w:hAnsi="Garamond"/>
        <w:b w:val="0"/>
        <w:bCs/>
      </w:rPr>
      <w:t xml:space="preserve">Financing Restructuring During The Covid-19 Pandemic: The </w:t>
    </w:r>
    <w:proofErr w:type="spellStart"/>
    <w:r w:rsidRPr="000E0E96">
      <w:rPr>
        <w:rFonts w:ascii="Garamond" w:hAnsi="Garamond"/>
        <w:b w:val="0"/>
        <w:bCs/>
      </w:rPr>
      <w:t>Tadhbiq</w:t>
    </w:r>
    <w:proofErr w:type="spellEnd"/>
    <w:r w:rsidRPr="000E0E96">
      <w:rPr>
        <w:rFonts w:ascii="Garamond" w:hAnsi="Garamond"/>
        <w:b w:val="0"/>
        <w:bCs/>
      </w:rPr>
      <w:t xml:space="preserve"> </w:t>
    </w:r>
    <w:proofErr w:type="spellStart"/>
    <w:r w:rsidRPr="000E0E96">
      <w:rPr>
        <w:rFonts w:ascii="Garamond" w:hAnsi="Garamond"/>
        <w:b w:val="0"/>
        <w:bCs/>
      </w:rPr>
      <w:t>Ahkam</w:t>
    </w:r>
    <w:proofErr w:type="spellEnd"/>
    <w:r w:rsidRPr="000E0E96">
      <w:rPr>
        <w:rFonts w:ascii="Garamond" w:hAnsi="Garamond"/>
        <w:b w:val="0"/>
        <w:bCs/>
      </w:rPr>
      <w:t xml:space="preserve"> Paradigm</w:t>
    </w:r>
    <w:r w:rsidRPr="006F0F44">
      <w:rPr>
        <w:rFonts w:ascii="Garamond" w:hAnsi="Garamon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
      </v:shape>
    </w:pict>
  </w:numPicBullet>
  <w:abstractNum w:abstractNumId="0">
    <w:nsid w:val="1BC57C50"/>
    <w:multiLevelType w:val="hybridMultilevel"/>
    <w:tmpl w:val="B40A501A"/>
    <w:lvl w:ilvl="0" w:tplc="8E8C21D2">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E86F70"/>
    <w:multiLevelType w:val="hybridMultilevel"/>
    <w:tmpl w:val="4DB80F9E"/>
    <w:lvl w:ilvl="0" w:tplc="82B601F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A0A3F"/>
    <w:multiLevelType w:val="hybridMultilevel"/>
    <w:tmpl w:val="6936C2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E0A43DE"/>
    <w:multiLevelType w:val="hybridMultilevel"/>
    <w:tmpl w:val="1C24F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0C22FC"/>
    <w:multiLevelType w:val="hybridMultilevel"/>
    <w:tmpl w:val="FC306B84"/>
    <w:lvl w:ilvl="0" w:tplc="0421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13D1495"/>
    <w:multiLevelType w:val="hybridMultilevel"/>
    <w:tmpl w:val="7D3A7DF6"/>
    <w:lvl w:ilvl="0" w:tplc="007A84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520B3BFD"/>
    <w:multiLevelType w:val="hybridMultilevel"/>
    <w:tmpl w:val="ABC2C758"/>
    <w:lvl w:ilvl="0" w:tplc="19D2E0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62E7D"/>
    <w:multiLevelType w:val="hybridMultilevel"/>
    <w:tmpl w:val="4628B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1B3045"/>
    <w:multiLevelType w:val="hybridMultilevel"/>
    <w:tmpl w:val="1A7C6134"/>
    <w:lvl w:ilvl="0" w:tplc="37B2F5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F86051C"/>
    <w:multiLevelType w:val="hybridMultilevel"/>
    <w:tmpl w:val="E348FB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7"/>
  </w:num>
  <w:num w:numId="8">
    <w:abstractNumId w:val="8"/>
  </w:num>
  <w:num w:numId="9">
    <w:abstractNumId w:val="10"/>
  </w:num>
  <w:num w:numId="10">
    <w:abstractNumId w:val="4"/>
  </w:num>
  <w:num w:numId="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6691F"/>
    <w:rsid w:val="00067018"/>
    <w:rsid w:val="00075682"/>
    <w:rsid w:val="00080DEC"/>
    <w:rsid w:val="000932D6"/>
    <w:rsid w:val="00096170"/>
    <w:rsid w:val="00096EA0"/>
    <w:rsid w:val="000A0065"/>
    <w:rsid w:val="000A3748"/>
    <w:rsid w:val="000A6594"/>
    <w:rsid w:val="000A792B"/>
    <w:rsid w:val="000B0881"/>
    <w:rsid w:val="000B2CA6"/>
    <w:rsid w:val="000B311C"/>
    <w:rsid w:val="000B753F"/>
    <w:rsid w:val="000C047B"/>
    <w:rsid w:val="000C1482"/>
    <w:rsid w:val="000C4518"/>
    <w:rsid w:val="000D7A5A"/>
    <w:rsid w:val="000E0E96"/>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9E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5181"/>
    <w:rsid w:val="002108AA"/>
    <w:rsid w:val="00210C90"/>
    <w:rsid w:val="0021745F"/>
    <w:rsid w:val="00220F44"/>
    <w:rsid w:val="0022756A"/>
    <w:rsid w:val="0023125A"/>
    <w:rsid w:val="00231A87"/>
    <w:rsid w:val="002325E3"/>
    <w:rsid w:val="002468B6"/>
    <w:rsid w:val="0025313D"/>
    <w:rsid w:val="00254295"/>
    <w:rsid w:val="00257675"/>
    <w:rsid w:val="002647E3"/>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E64"/>
    <w:rsid w:val="002C15EC"/>
    <w:rsid w:val="002D7830"/>
    <w:rsid w:val="002D783F"/>
    <w:rsid w:val="002E318A"/>
    <w:rsid w:val="002E4FD2"/>
    <w:rsid w:val="002F089E"/>
    <w:rsid w:val="002F6314"/>
    <w:rsid w:val="002F7585"/>
    <w:rsid w:val="003032FC"/>
    <w:rsid w:val="00303823"/>
    <w:rsid w:val="003050C7"/>
    <w:rsid w:val="003073F6"/>
    <w:rsid w:val="00311C45"/>
    <w:rsid w:val="00312DA1"/>
    <w:rsid w:val="00313096"/>
    <w:rsid w:val="00314891"/>
    <w:rsid w:val="00320E2A"/>
    <w:rsid w:val="003225C3"/>
    <w:rsid w:val="00323F83"/>
    <w:rsid w:val="00327181"/>
    <w:rsid w:val="00332C13"/>
    <w:rsid w:val="00332DAD"/>
    <w:rsid w:val="0033476B"/>
    <w:rsid w:val="00341AA5"/>
    <w:rsid w:val="00343C02"/>
    <w:rsid w:val="003454CC"/>
    <w:rsid w:val="00346D98"/>
    <w:rsid w:val="00347E7A"/>
    <w:rsid w:val="00352826"/>
    <w:rsid w:val="0035783B"/>
    <w:rsid w:val="003578AF"/>
    <w:rsid w:val="003624B2"/>
    <w:rsid w:val="00363DB8"/>
    <w:rsid w:val="0037046B"/>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B7CB5"/>
    <w:rsid w:val="003C1D38"/>
    <w:rsid w:val="003C29CC"/>
    <w:rsid w:val="003C683E"/>
    <w:rsid w:val="003D123A"/>
    <w:rsid w:val="003E3FDD"/>
    <w:rsid w:val="003E6D29"/>
    <w:rsid w:val="003E73F9"/>
    <w:rsid w:val="003E78B7"/>
    <w:rsid w:val="003F14D9"/>
    <w:rsid w:val="003F3516"/>
    <w:rsid w:val="003F4F39"/>
    <w:rsid w:val="003F5A6C"/>
    <w:rsid w:val="00401155"/>
    <w:rsid w:val="00401834"/>
    <w:rsid w:val="00403551"/>
    <w:rsid w:val="00410074"/>
    <w:rsid w:val="00412F36"/>
    <w:rsid w:val="00414A5D"/>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A31F9"/>
    <w:rsid w:val="004A59A2"/>
    <w:rsid w:val="004A7AAE"/>
    <w:rsid w:val="004B7482"/>
    <w:rsid w:val="004C49F5"/>
    <w:rsid w:val="004C6B85"/>
    <w:rsid w:val="004D2B39"/>
    <w:rsid w:val="004D319C"/>
    <w:rsid w:val="004D3F73"/>
    <w:rsid w:val="004D61A6"/>
    <w:rsid w:val="004E1B76"/>
    <w:rsid w:val="004E29FD"/>
    <w:rsid w:val="004E3AA0"/>
    <w:rsid w:val="004F48A8"/>
    <w:rsid w:val="00501CCE"/>
    <w:rsid w:val="00504665"/>
    <w:rsid w:val="0051254C"/>
    <w:rsid w:val="0051451B"/>
    <w:rsid w:val="00521A51"/>
    <w:rsid w:val="00524C67"/>
    <w:rsid w:val="00525671"/>
    <w:rsid w:val="00532B28"/>
    <w:rsid w:val="00533E06"/>
    <w:rsid w:val="0054210D"/>
    <w:rsid w:val="005422F7"/>
    <w:rsid w:val="00542581"/>
    <w:rsid w:val="00544554"/>
    <w:rsid w:val="00544FCE"/>
    <w:rsid w:val="00546E6E"/>
    <w:rsid w:val="00551291"/>
    <w:rsid w:val="00551B67"/>
    <w:rsid w:val="00553A96"/>
    <w:rsid w:val="00553EC4"/>
    <w:rsid w:val="0056086A"/>
    <w:rsid w:val="00561D7E"/>
    <w:rsid w:val="00565D6B"/>
    <w:rsid w:val="0057740E"/>
    <w:rsid w:val="00580910"/>
    <w:rsid w:val="00584B1A"/>
    <w:rsid w:val="00592FB3"/>
    <w:rsid w:val="00593AE7"/>
    <w:rsid w:val="0059618C"/>
    <w:rsid w:val="005C53BC"/>
    <w:rsid w:val="005C7849"/>
    <w:rsid w:val="005D1276"/>
    <w:rsid w:val="005D3454"/>
    <w:rsid w:val="005D5EE2"/>
    <w:rsid w:val="005F476E"/>
    <w:rsid w:val="005F4938"/>
    <w:rsid w:val="005F4A2F"/>
    <w:rsid w:val="0060099A"/>
    <w:rsid w:val="00613CD5"/>
    <w:rsid w:val="006150B0"/>
    <w:rsid w:val="00616717"/>
    <w:rsid w:val="00621EBC"/>
    <w:rsid w:val="00623361"/>
    <w:rsid w:val="006268C1"/>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1AEE"/>
    <w:rsid w:val="006B6DCC"/>
    <w:rsid w:val="006C0DEF"/>
    <w:rsid w:val="006C13B0"/>
    <w:rsid w:val="006C340A"/>
    <w:rsid w:val="006E61C1"/>
    <w:rsid w:val="006E7F2D"/>
    <w:rsid w:val="006F0F44"/>
    <w:rsid w:val="006F1A02"/>
    <w:rsid w:val="006F39DC"/>
    <w:rsid w:val="00702A13"/>
    <w:rsid w:val="00703765"/>
    <w:rsid w:val="00714673"/>
    <w:rsid w:val="0071557D"/>
    <w:rsid w:val="00727E28"/>
    <w:rsid w:val="007309C1"/>
    <w:rsid w:val="00732325"/>
    <w:rsid w:val="00746E3B"/>
    <w:rsid w:val="00757276"/>
    <w:rsid w:val="0076071B"/>
    <w:rsid w:val="00760C61"/>
    <w:rsid w:val="0076292A"/>
    <w:rsid w:val="007719F0"/>
    <w:rsid w:val="00771E1A"/>
    <w:rsid w:val="007774AF"/>
    <w:rsid w:val="00784311"/>
    <w:rsid w:val="0079491C"/>
    <w:rsid w:val="007A0DEE"/>
    <w:rsid w:val="007A3610"/>
    <w:rsid w:val="007B1546"/>
    <w:rsid w:val="007B3BEF"/>
    <w:rsid w:val="007C4841"/>
    <w:rsid w:val="007D2EB7"/>
    <w:rsid w:val="008065BB"/>
    <w:rsid w:val="00807FBB"/>
    <w:rsid w:val="0081298E"/>
    <w:rsid w:val="00812F36"/>
    <w:rsid w:val="00821D71"/>
    <w:rsid w:val="00826A5D"/>
    <w:rsid w:val="00830E0F"/>
    <w:rsid w:val="00831747"/>
    <w:rsid w:val="0083452B"/>
    <w:rsid w:val="008363F6"/>
    <w:rsid w:val="00841290"/>
    <w:rsid w:val="008424C5"/>
    <w:rsid w:val="00844648"/>
    <w:rsid w:val="00844EF9"/>
    <w:rsid w:val="00846CE4"/>
    <w:rsid w:val="00851012"/>
    <w:rsid w:val="00852886"/>
    <w:rsid w:val="00860940"/>
    <w:rsid w:val="008643EE"/>
    <w:rsid w:val="0087063B"/>
    <w:rsid w:val="00874D9B"/>
    <w:rsid w:val="00875B87"/>
    <w:rsid w:val="008811EE"/>
    <w:rsid w:val="008823F1"/>
    <w:rsid w:val="0088455C"/>
    <w:rsid w:val="00887BDC"/>
    <w:rsid w:val="008A0ED8"/>
    <w:rsid w:val="008A309B"/>
    <w:rsid w:val="008A3AA6"/>
    <w:rsid w:val="008A6808"/>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5B5B"/>
    <w:rsid w:val="00906108"/>
    <w:rsid w:val="009105BB"/>
    <w:rsid w:val="00910EBD"/>
    <w:rsid w:val="00913349"/>
    <w:rsid w:val="0091632E"/>
    <w:rsid w:val="00920A49"/>
    <w:rsid w:val="00930698"/>
    <w:rsid w:val="009323B6"/>
    <w:rsid w:val="00932447"/>
    <w:rsid w:val="00932840"/>
    <w:rsid w:val="009355F4"/>
    <w:rsid w:val="009365A3"/>
    <w:rsid w:val="009376D5"/>
    <w:rsid w:val="00937769"/>
    <w:rsid w:val="0094022C"/>
    <w:rsid w:val="0094318F"/>
    <w:rsid w:val="009438C4"/>
    <w:rsid w:val="00947776"/>
    <w:rsid w:val="009541C7"/>
    <w:rsid w:val="00956D5F"/>
    <w:rsid w:val="0096062B"/>
    <w:rsid w:val="0096132D"/>
    <w:rsid w:val="00965E9F"/>
    <w:rsid w:val="009775C4"/>
    <w:rsid w:val="0098262C"/>
    <w:rsid w:val="00986994"/>
    <w:rsid w:val="00987714"/>
    <w:rsid w:val="0099183A"/>
    <w:rsid w:val="00994C6D"/>
    <w:rsid w:val="0099697F"/>
    <w:rsid w:val="009A0105"/>
    <w:rsid w:val="009A2228"/>
    <w:rsid w:val="009A36F6"/>
    <w:rsid w:val="009A7037"/>
    <w:rsid w:val="009B0EE3"/>
    <w:rsid w:val="009B19C9"/>
    <w:rsid w:val="009B3D8A"/>
    <w:rsid w:val="009C0E98"/>
    <w:rsid w:val="009C1F32"/>
    <w:rsid w:val="009D2226"/>
    <w:rsid w:val="009D4B21"/>
    <w:rsid w:val="009D6802"/>
    <w:rsid w:val="009D7E24"/>
    <w:rsid w:val="009E1FD7"/>
    <w:rsid w:val="009F17B3"/>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465D4"/>
    <w:rsid w:val="00A5080C"/>
    <w:rsid w:val="00A527AF"/>
    <w:rsid w:val="00A545FF"/>
    <w:rsid w:val="00A56667"/>
    <w:rsid w:val="00A56BB9"/>
    <w:rsid w:val="00A56E29"/>
    <w:rsid w:val="00A63973"/>
    <w:rsid w:val="00A65207"/>
    <w:rsid w:val="00A725F6"/>
    <w:rsid w:val="00A72D9B"/>
    <w:rsid w:val="00A766CC"/>
    <w:rsid w:val="00A77B6B"/>
    <w:rsid w:val="00A807F3"/>
    <w:rsid w:val="00A81477"/>
    <w:rsid w:val="00A83659"/>
    <w:rsid w:val="00A86B2E"/>
    <w:rsid w:val="00A87AF5"/>
    <w:rsid w:val="00A959CD"/>
    <w:rsid w:val="00A95C81"/>
    <w:rsid w:val="00A95DE8"/>
    <w:rsid w:val="00AA07FE"/>
    <w:rsid w:val="00AA256C"/>
    <w:rsid w:val="00AA3000"/>
    <w:rsid w:val="00AB11C2"/>
    <w:rsid w:val="00AB17CD"/>
    <w:rsid w:val="00AB4094"/>
    <w:rsid w:val="00AD000E"/>
    <w:rsid w:val="00AD176C"/>
    <w:rsid w:val="00AD7028"/>
    <w:rsid w:val="00AE2F33"/>
    <w:rsid w:val="00AE4E85"/>
    <w:rsid w:val="00AE6488"/>
    <w:rsid w:val="00AE6640"/>
    <w:rsid w:val="00AE6743"/>
    <w:rsid w:val="00AF0967"/>
    <w:rsid w:val="00AF0C01"/>
    <w:rsid w:val="00AF2241"/>
    <w:rsid w:val="00AF5779"/>
    <w:rsid w:val="00B01701"/>
    <w:rsid w:val="00B03158"/>
    <w:rsid w:val="00B04E4C"/>
    <w:rsid w:val="00B05FB7"/>
    <w:rsid w:val="00B121F1"/>
    <w:rsid w:val="00B21C30"/>
    <w:rsid w:val="00B22D38"/>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B3FE6"/>
    <w:rsid w:val="00BB444A"/>
    <w:rsid w:val="00BB580C"/>
    <w:rsid w:val="00BC178B"/>
    <w:rsid w:val="00BC5F00"/>
    <w:rsid w:val="00BC6A90"/>
    <w:rsid w:val="00BC7E24"/>
    <w:rsid w:val="00BD25D7"/>
    <w:rsid w:val="00BD3029"/>
    <w:rsid w:val="00BE026B"/>
    <w:rsid w:val="00BE459A"/>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365C5"/>
    <w:rsid w:val="00C4431C"/>
    <w:rsid w:val="00C46A79"/>
    <w:rsid w:val="00C47DBD"/>
    <w:rsid w:val="00C51E33"/>
    <w:rsid w:val="00C60217"/>
    <w:rsid w:val="00C65D30"/>
    <w:rsid w:val="00C661E8"/>
    <w:rsid w:val="00C66512"/>
    <w:rsid w:val="00C66F54"/>
    <w:rsid w:val="00C70CBC"/>
    <w:rsid w:val="00C7361B"/>
    <w:rsid w:val="00C819D9"/>
    <w:rsid w:val="00C82AF3"/>
    <w:rsid w:val="00C86362"/>
    <w:rsid w:val="00C93F80"/>
    <w:rsid w:val="00C97ACA"/>
    <w:rsid w:val="00CA40D4"/>
    <w:rsid w:val="00CA57B2"/>
    <w:rsid w:val="00CB3120"/>
    <w:rsid w:val="00CB32E7"/>
    <w:rsid w:val="00CB5BCB"/>
    <w:rsid w:val="00CC3516"/>
    <w:rsid w:val="00CD34A9"/>
    <w:rsid w:val="00CD7A6D"/>
    <w:rsid w:val="00CE1924"/>
    <w:rsid w:val="00CE6F98"/>
    <w:rsid w:val="00CF3660"/>
    <w:rsid w:val="00CF40B2"/>
    <w:rsid w:val="00CF4D95"/>
    <w:rsid w:val="00D00912"/>
    <w:rsid w:val="00D1055B"/>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7441"/>
    <w:rsid w:val="00DE15C6"/>
    <w:rsid w:val="00DE18F0"/>
    <w:rsid w:val="00DE1EBE"/>
    <w:rsid w:val="00DE4307"/>
    <w:rsid w:val="00DF1882"/>
    <w:rsid w:val="00DF1E86"/>
    <w:rsid w:val="00E00741"/>
    <w:rsid w:val="00E03E1B"/>
    <w:rsid w:val="00E10A97"/>
    <w:rsid w:val="00E20BEE"/>
    <w:rsid w:val="00E247E8"/>
    <w:rsid w:val="00E26F68"/>
    <w:rsid w:val="00E43DB4"/>
    <w:rsid w:val="00E50C28"/>
    <w:rsid w:val="00E62443"/>
    <w:rsid w:val="00E678F1"/>
    <w:rsid w:val="00E67DDA"/>
    <w:rsid w:val="00E71A52"/>
    <w:rsid w:val="00E9529C"/>
    <w:rsid w:val="00E95C50"/>
    <w:rsid w:val="00E95C9C"/>
    <w:rsid w:val="00EA0857"/>
    <w:rsid w:val="00EA3E85"/>
    <w:rsid w:val="00EA4E0D"/>
    <w:rsid w:val="00EB1A68"/>
    <w:rsid w:val="00EB4DD3"/>
    <w:rsid w:val="00EB6453"/>
    <w:rsid w:val="00EC6D35"/>
    <w:rsid w:val="00EC709B"/>
    <w:rsid w:val="00ED4616"/>
    <w:rsid w:val="00ED7EDB"/>
    <w:rsid w:val="00EE3815"/>
    <w:rsid w:val="00EE4AD3"/>
    <w:rsid w:val="00EE6A38"/>
    <w:rsid w:val="00EE6C4E"/>
    <w:rsid w:val="00EF40F3"/>
    <w:rsid w:val="00EF4FD8"/>
    <w:rsid w:val="00EF67BA"/>
    <w:rsid w:val="00EF7A44"/>
    <w:rsid w:val="00F04BCE"/>
    <w:rsid w:val="00F106F0"/>
    <w:rsid w:val="00F1286D"/>
    <w:rsid w:val="00F14839"/>
    <w:rsid w:val="00F15012"/>
    <w:rsid w:val="00F20E36"/>
    <w:rsid w:val="00F23E2B"/>
    <w:rsid w:val="00F32833"/>
    <w:rsid w:val="00F33D8C"/>
    <w:rsid w:val="00F342D1"/>
    <w:rsid w:val="00F35EBF"/>
    <w:rsid w:val="00F3640A"/>
    <w:rsid w:val="00F37D46"/>
    <w:rsid w:val="00F4258D"/>
    <w:rsid w:val="00F43AD3"/>
    <w:rsid w:val="00F56A29"/>
    <w:rsid w:val="00F57897"/>
    <w:rsid w:val="00F60CF0"/>
    <w:rsid w:val="00F637A6"/>
    <w:rsid w:val="00F74B47"/>
    <w:rsid w:val="00F803C5"/>
    <w:rsid w:val="00F83AD0"/>
    <w:rsid w:val="00F857C4"/>
    <w:rsid w:val="00F86D20"/>
    <w:rsid w:val="00F939E1"/>
    <w:rsid w:val="00F961F8"/>
    <w:rsid w:val="00FA51D1"/>
    <w:rsid w:val="00FB1003"/>
    <w:rsid w:val="00FB5510"/>
    <w:rsid w:val="00FB7657"/>
    <w:rsid w:val="00FC15AB"/>
    <w:rsid w:val="00FE2D89"/>
    <w:rsid w:val="00FE322F"/>
    <w:rsid w:val="00FE4CDE"/>
    <w:rsid w:val="00FE700A"/>
    <w:rsid w:val="00FF3A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footer" w:semiHidden="1" w:uiPriority="99" w:unhideWhenUsed="1"/>
    <w:lsdException w:name="caption" w:semiHidden="1" w:unhideWhenUsed="1" w:qFormat="1"/>
    <w:lsdException w:name="footnote reference" w:uiPriority="99" w:qFormat="1"/>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Footnote Text Char1 Char,Footnote Text Char Char1 Char,Footnote Text Char1 Char Char Char,Footnote Text Char Char1 Char Char Char,Footnote Text Char Char2 Char,Char"/>
    <w:basedOn w:val="Normal"/>
    <w:link w:val="FootnoteTextChar"/>
    <w:uiPriority w:val="99"/>
    <w:qFormat/>
    <w:rsid w:val="00D86465"/>
    <w:rPr>
      <w:sz w:val="20"/>
      <w:szCs w:val="20"/>
      <w:lang w:val="x-none" w:eastAsia="x-none"/>
    </w:rPr>
  </w:style>
  <w:style w:type="character" w:customStyle="1" w:styleId="FootnoteTextChar">
    <w:name w:val="Footnote Text Char"/>
    <w:aliases w:val="Footnote Text Char Char Char Char Char,Footnote Text Char Char Char Char1,Footnote Text Char1 Char Char,Footnote Text Char Char1 Char Char,Footnote Text Char1 Char Char Char Char,Footnote Text Char Char1 Char Char Char Char,Char Char"/>
    <w:link w:val="FootnoteText"/>
    <w:uiPriority w:val="99"/>
    <w:qFormat/>
    <w:locked/>
    <w:rsid w:val="003C29CC"/>
    <w:rPr>
      <w:rFonts w:cs="Times New Roman"/>
    </w:rPr>
  </w:style>
  <w:style w:type="character" w:styleId="FootnoteReference">
    <w:name w:val="footnote reference"/>
    <w:aliases w:val="fr"/>
    <w:uiPriority w:val="99"/>
    <w:qFormat/>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qFormat/>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592FB3"/>
    <w:pPr>
      <w:widowControl w:val="0"/>
      <w:autoSpaceDE w:val="0"/>
      <w:autoSpaceDN w:val="0"/>
      <w:adjustRightInd w:val="0"/>
      <w:jc w:val="right"/>
      <w:textAlignment w:val="baseline"/>
    </w:pPr>
    <w:rPr>
      <w:rFonts w:eastAsia="BatangChe"/>
      <w:b/>
      <w:sz w:val="20"/>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1"/>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 w:type="character" w:customStyle="1" w:styleId="markedcontent">
    <w:name w:val="markedcontent"/>
    <w:basedOn w:val="DefaultParagraphFont"/>
    <w:rsid w:val="00592FB3"/>
  </w:style>
  <w:style w:type="character" w:customStyle="1" w:styleId="y2iqfc">
    <w:name w:val="y2iqfc"/>
    <w:basedOn w:val="DefaultParagraphFont"/>
    <w:rsid w:val="00592FB3"/>
  </w:style>
  <w:style w:type="character" w:customStyle="1" w:styleId="t">
    <w:name w:val="t"/>
    <w:basedOn w:val="DefaultParagraphFont"/>
    <w:qFormat/>
    <w:rsid w:val="00C70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ndah.robiatul@steialamar.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ournal.iaincurup.ac.id/index/alfala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22</TotalTime>
  <Pages>20</Pages>
  <Words>5654</Words>
  <Characters>32230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37809</CharactersWithSpaces>
  <SharedDoc>false</SharedDoc>
  <HLinks>
    <vt:vector size="12" baseType="variant">
      <vt:variant>
        <vt:i4>655398</vt:i4>
      </vt:variant>
      <vt:variant>
        <vt:i4>0</vt:i4>
      </vt:variant>
      <vt:variant>
        <vt:i4>0</vt:i4>
      </vt:variant>
      <vt:variant>
        <vt:i4>5</vt:i4>
      </vt:variant>
      <vt:variant>
        <vt:lpwstr>mailto:endah.robiatul@steialamar.ac.id</vt:lpwstr>
      </vt:variant>
      <vt:variant>
        <vt:lpwstr/>
      </vt: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Umea' Jurnal</cp:lastModifiedBy>
  <cp:revision>8</cp:revision>
  <cp:lastPrinted>2022-05-29T09:15:00Z</cp:lastPrinted>
  <dcterms:created xsi:type="dcterms:W3CDTF">2022-05-29T06:26:00Z</dcterms:created>
  <dcterms:modified xsi:type="dcterms:W3CDTF">2022-05-31T07:26:00Z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