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17" w:rsidRPr="006C6FA0" w:rsidRDefault="00C13E17" w:rsidP="00C13E17">
      <w:pPr>
        <w:spacing w:after="0" w:line="360" w:lineRule="atLeast"/>
        <w:jc w:val="center"/>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b/>
          <w:bCs/>
          <w:color w:val="000000"/>
          <w:sz w:val="24"/>
          <w:szCs w:val="24"/>
          <w:lang w:eastAsia="id-ID"/>
        </w:rPr>
        <w:t>THE EFFECT OF SERVICE QUALITY ON CUSTOMER SATISFACTION</w:t>
      </w:r>
    </w:p>
    <w:p w:rsidR="00C13E17" w:rsidRPr="006C6FA0" w:rsidRDefault="00C13E17" w:rsidP="00C13E17">
      <w:pPr>
        <w:spacing w:after="0" w:line="360" w:lineRule="atLeast"/>
        <w:jc w:val="center"/>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b/>
          <w:bCs/>
          <w:color w:val="000000"/>
          <w:sz w:val="24"/>
          <w:szCs w:val="24"/>
          <w:lang w:eastAsia="id-ID"/>
        </w:rPr>
        <w:t>IN A SHARIA PORTFORCE</w:t>
      </w:r>
    </w:p>
    <w:p w:rsidR="00C13E17" w:rsidRPr="006C6FA0" w:rsidRDefault="00C13E17" w:rsidP="00C13E17">
      <w:pPr>
        <w:spacing w:after="0" w:line="360" w:lineRule="atLeast"/>
        <w:jc w:val="center"/>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b/>
          <w:bCs/>
          <w:color w:val="000000"/>
          <w:sz w:val="24"/>
          <w:szCs w:val="24"/>
          <w:lang w:eastAsia="id-ID"/>
        </w:rPr>
        <w:t>(Case Study on Sharia Pawnshops in Jambi Province)</w:t>
      </w:r>
    </w:p>
    <w:p w:rsidR="00C13E17" w:rsidRPr="006C6FA0" w:rsidRDefault="00C13E17" w:rsidP="00C13E17">
      <w:pPr>
        <w:spacing w:after="0" w:line="240" w:lineRule="auto"/>
        <w:jc w:val="center"/>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b/>
          <w:bCs/>
          <w:color w:val="000000"/>
          <w:sz w:val="24"/>
          <w:szCs w:val="24"/>
          <w:lang w:eastAsia="id-ID"/>
        </w:rPr>
        <w:t>BUSRIADI</w:t>
      </w:r>
      <w:bookmarkStart w:id="0" w:name="_ftnref1"/>
      <w:bookmarkEnd w:id="0"/>
      <w:r w:rsidR="00B6517A">
        <w:rPr>
          <w:rStyle w:val="FootnoteReference"/>
          <w:rFonts w:ascii="Times New Roman" w:eastAsia="Times New Roman" w:hAnsi="Times New Roman" w:cs="Times New Roman"/>
          <w:b/>
          <w:bCs/>
          <w:color w:val="000000"/>
          <w:sz w:val="24"/>
          <w:szCs w:val="24"/>
          <w:lang w:eastAsia="id-ID"/>
        </w:rPr>
        <w:footnoteReference w:id="2"/>
      </w:r>
    </w:p>
    <w:p w:rsidR="00C13E17" w:rsidRPr="006C6FA0" w:rsidRDefault="00C13E17" w:rsidP="00C13E17">
      <w:pPr>
        <w:spacing w:after="0" w:line="240" w:lineRule="auto"/>
        <w:jc w:val="center"/>
        <w:rPr>
          <w:rFonts w:ascii="Times New Roman" w:eastAsia="Times New Roman" w:hAnsi="Times New Roman" w:cs="Times New Roman"/>
          <w:color w:val="000000"/>
          <w:sz w:val="27"/>
          <w:szCs w:val="27"/>
          <w:lang w:eastAsia="id-ID"/>
        </w:rPr>
      </w:pPr>
      <w:r w:rsidRPr="006C6FA0">
        <w:rPr>
          <w:rFonts w:ascii="Times New Arabic" w:eastAsia="Times New Roman" w:hAnsi="Times New Arabic" w:cs="Times New Roman"/>
          <w:color w:val="000000"/>
          <w:sz w:val="24"/>
          <w:szCs w:val="24"/>
          <w:lang w:eastAsia="id-ID"/>
        </w:rPr>
        <w:t>Yasni Bungo Islamic Institute (IAI)</w:t>
      </w:r>
    </w:p>
    <w:p w:rsidR="00C13E17" w:rsidRPr="006C6FA0" w:rsidRDefault="00EC7B77" w:rsidP="00C13E17">
      <w:pPr>
        <w:spacing w:after="0" w:line="240" w:lineRule="auto"/>
        <w:jc w:val="center"/>
        <w:rPr>
          <w:rFonts w:ascii="Times New Roman" w:eastAsia="Times New Roman" w:hAnsi="Times New Roman" w:cs="Times New Roman"/>
          <w:color w:val="000000"/>
          <w:sz w:val="27"/>
          <w:szCs w:val="27"/>
          <w:lang w:eastAsia="id-ID"/>
        </w:rPr>
      </w:pPr>
      <w:hyperlink r:id="rId8" w:history="1">
        <w:r w:rsidR="00C13E17" w:rsidRPr="006C6FA0">
          <w:rPr>
            <w:rFonts w:ascii="Times New Arabic" w:eastAsia="Times New Roman" w:hAnsi="Times New Arabic" w:cs="Times New Roman"/>
            <w:color w:val="0000FF"/>
            <w:sz w:val="24"/>
            <w:szCs w:val="24"/>
            <w:u w:val="single"/>
            <w:lang w:eastAsia="id-ID"/>
          </w:rPr>
          <w:t>bbusriadi@gmail.com</w:t>
        </w:r>
      </w:hyperlink>
    </w:p>
    <w:p w:rsidR="00C13E17" w:rsidRPr="006C6FA0" w:rsidRDefault="00C13E17" w:rsidP="00C13E17">
      <w:pPr>
        <w:spacing w:after="0" w:line="240" w:lineRule="auto"/>
        <w:jc w:val="center"/>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color w:val="000000"/>
          <w:sz w:val="24"/>
          <w:szCs w:val="24"/>
          <w:lang w:eastAsia="id-ID"/>
        </w:rPr>
        <w:t> </w:t>
      </w:r>
    </w:p>
    <w:p w:rsidR="00C13E17" w:rsidRPr="006C6FA0" w:rsidRDefault="00C13E17" w:rsidP="00C13E17">
      <w:pPr>
        <w:spacing w:after="0" w:line="240" w:lineRule="auto"/>
        <w:jc w:val="center"/>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b/>
          <w:bCs/>
          <w:color w:val="000000"/>
          <w:sz w:val="24"/>
          <w:szCs w:val="24"/>
          <w:lang w:eastAsia="id-ID"/>
        </w:rPr>
        <w:t>RAHMAN ARIFIN</w:t>
      </w:r>
      <w:bookmarkStart w:id="1" w:name="_ftnref2"/>
      <w:bookmarkEnd w:id="1"/>
      <w:r>
        <w:rPr>
          <w:rStyle w:val="FootnoteReference"/>
          <w:rFonts w:ascii="Times New Roman" w:eastAsia="Times New Roman" w:hAnsi="Times New Roman" w:cs="Times New Roman"/>
          <w:b/>
          <w:bCs/>
          <w:color w:val="000000"/>
          <w:sz w:val="24"/>
          <w:szCs w:val="24"/>
          <w:lang w:eastAsia="id-ID"/>
        </w:rPr>
        <w:footnoteReference w:id="3"/>
      </w:r>
    </w:p>
    <w:p w:rsidR="00C13E17" w:rsidRPr="006C6FA0" w:rsidRDefault="00C13E17" w:rsidP="00C13E17">
      <w:pPr>
        <w:spacing w:after="0" w:line="240" w:lineRule="auto"/>
        <w:jc w:val="center"/>
        <w:rPr>
          <w:rFonts w:ascii="Times New Roman" w:eastAsia="Times New Roman" w:hAnsi="Times New Roman" w:cs="Times New Roman"/>
          <w:color w:val="000000"/>
          <w:sz w:val="27"/>
          <w:szCs w:val="27"/>
          <w:lang w:eastAsia="id-ID"/>
        </w:rPr>
      </w:pPr>
      <w:r>
        <w:rPr>
          <w:rFonts w:ascii="Times New Arabic" w:eastAsia="Times New Roman" w:hAnsi="Times New Arabic" w:cs="Times New Roman"/>
          <w:color w:val="000000"/>
          <w:sz w:val="24"/>
          <w:szCs w:val="24"/>
          <w:lang w:eastAsia="id-ID"/>
        </w:rPr>
        <w:t xml:space="preserve">State </w:t>
      </w:r>
      <w:r w:rsidRPr="006C6FA0">
        <w:rPr>
          <w:rFonts w:ascii="Times New Arabic" w:eastAsia="Times New Roman" w:hAnsi="Times New Arabic" w:cs="Times New Roman"/>
          <w:color w:val="000000"/>
          <w:sz w:val="24"/>
          <w:szCs w:val="24"/>
          <w:lang w:eastAsia="id-ID"/>
        </w:rPr>
        <w:t xml:space="preserve"> Institute </w:t>
      </w:r>
      <w:r>
        <w:rPr>
          <w:rFonts w:ascii="Times New Arabic" w:eastAsia="Times New Roman" w:hAnsi="Times New Arabic" w:cs="Times New Roman"/>
          <w:color w:val="000000"/>
          <w:sz w:val="24"/>
          <w:szCs w:val="24"/>
          <w:lang w:eastAsia="id-ID"/>
        </w:rPr>
        <w:t xml:space="preserve"> for Islamic Studeis </w:t>
      </w:r>
      <w:r w:rsidRPr="006C6FA0">
        <w:rPr>
          <w:rFonts w:ascii="Times New Arabic" w:eastAsia="Times New Roman" w:hAnsi="Times New Arabic" w:cs="Times New Roman"/>
          <w:color w:val="000000"/>
          <w:sz w:val="24"/>
          <w:szCs w:val="24"/>
          <w:lang w:eastAsia="id-ID"/>
        </w:rPr>
        <w:t>(IAIN) Curup</w:t>
      </w:r>
    </w:p>
    <w:p w:rsidR="00C13E17" w:rsidRPr="006C6FA0" w:rsidRDefault="00EC7B77" w:rsidP="00C13E17">
      <w:pPr>
        <w:spacing w:after="0" w:line="240" w:lineRule="auto"/>
        <w:jc w:val="center"/>
        <w:rPr>
          <w:rFonts w:ascii="Times New Roman" w:eastAsia="Times New Roman" w:hAnsi="Times New Roman" w:cs="Times New Roman"/>
          <w:color w:val="000000"/>
          <w:sz w:val="27"/>
          <w:szCs w:val="27"/>
          <w:lang w:eastAsia="id-ID"/>
        </w:rPr>
      </w:pPr>
      <w:hyperlink r:id="rId9" w:history="1">
        <w:r w:rsidR="00C13E17" w:rsidRPr="006C6FA0">
          <w:rPr>
            <w:rFonts w:ascii="Times New Arabic" w:eastAsia="Times New Roman" w:hAnsi="Times New Arabic" w:cs="Times New Roman"/>
            <w:color w:val="0000FF"/>
            <w:sz w:val="24"/>
            <w:szCs w:val="24"/>
            <w:u w:val="single"/>
            <w:lang w:eastAsia="id-ID"/>
          </w:rPr>
          <w:t>rahman_arifin50@yahoo.co.id</w:t>
        </w:r>
      </w:hyperlink>
    </w:p>
    <w:p w:rsidR="00C13E17" w:rsidRPr="006C6FA0" w:rsidRDefault="00C13E17" w:rsidP="00C13E17">
      <w:pPr>
        <w:spacing w:after="0" w:line="240" w:lineRule="auto"/>
        <w:jc w:val="center"/>
        <w:rPr>
          <w:rFonts w:ascii="Times New Roman" w:eastAsia="Times New Roman" w:hAnsi="Times New Roman" w:cs="Times New Roman"/>
          <w:color w:val="000000"/>
          <w:sz w:val="27"/>
          <w:szCs w:val="27"/>
          <w:lang w:eastAsia="id-ID"/>
        </w:rPr>
      </w:pPr>
      <w:r w:rsidRPr="006C6FA0">
        <w:rPr>
          <w:rFonts w:ascii="Calibri" w:eastAsia="Times New Roman" w:hAnsi="Calibri" w:cs="Calibri"/>
          <w:color w:val="000000"/>
          <w:lang w:eastAsia="id-ID"/>
        </w:rPr>
        <w:t> </w:t>
      </w:r>
    </w:p>
    <w:p w:rsidR="00481272" w:rsidRDefault="00481272" w:rsidP="00481272">
      <w:pPr>
        <w:pStyle w:val="NormalWeb"/>
        <w:spacing w:before="0" w:beforeAutospacing="0" w:after="0" w:afterAutospacing="0"/>
        <w:ind w:firstLine="720"/>
        <w:jc w:val="both"/>
        <w:rPr>
          <w:color w:val="0E101A"/>
        </w:rPr>
      </w:pPr>
      <w:r>
        <w:rPr>
          <w:rStyle w:val="Strong"/>
          <w:color w:val="0E101A"/>
        </w:rPr>
        <w:t>ABSTRACT</w:t>
      </w:r>
    </w:p>
    <w:p w:rsidR="00481272" w:rsidRDefault="00481272" w:rsidP="00481272">
      <w:pPr>
        <w:pStyle w:val="NormalWeb"/>
        <w:spacing w:before="0" w:beforeAutospacing="0" w:after="0" w:afterAutospacing="0"/>
        <w:ind w:firstLine="720"/>
        <w:jc w:val="both"/>
        <w:rPr>
          <w:color w:val="0E101A"/>
        </w:rPr>
      </w:pPr>
      <w:r>
        <w:rPr>
          <w:color w:val="0E101A"/>
        </w:rPr>
        <w:t>The research background refers to the business phenomenon of PT. Pegadaian Syariah (Persero) Tbk. in Jambi province, where the problem is how to build customer satisfaction to achieve company goals. This research design is to analyze the effect of service quality on customer satisfaction. The research aims to find answers to the flow of service quality performance. Meanwhile, the modeling in this study aims to provide a critical understanding of the concept and measurement of customer relationship management. The researcher puts the elements of Effectiveness and Guarantee, Access, Price, Facilities, Products, and Reliability as variables that have a significant effect on customer satisfaction. This study uses a descriptive analysis approach and quantitative methods to test the variables under study through hypothesis testing. The research subjects were 110 customers of PT. Pegadaian Syariah (Persero) Tbk. In Jambi Province. To analyze the data, researchers used the Structural Equation Model (SEM) with the Amos 22 computer program. The results showed that service quality had a positive and significant impact on customer satisfaction. This study provides a contribution that strengthens the justification of previous research in which this research develops the effect of service quality by expanding the study on customer satisfaction.</w:t>
      </w:r>
    </w:p>
    <w:p w:rsidR="00481272" w:rsidRDefault="00481272" w:rsidP="00481272">
      <w:pPr>
        <w:pStyle w:val="NormalWeb"/>
        <w:spacing w:before="0" w:beforeAutospacing="0" w:after="0" w:afterAutospacing="0"/>
        <w:ind w:left="720"/>
        <w:jc w:val="both"/>
        <w:rPr>
          <w:rStyle w:val="Strong"/>
          <w:color w:val="0E101A"/>
        </w:rPr>
      </w:pPr>
      <w:r>
        <w:rPr>
          <w:rStyle w:val="Strong"/>
          <w:color w:val="0E101A"/>
        </w:rPr>
        <w:t>Keywords: Service Quality, Customer Satisfaction, Sharia Pawnshop.</w:t>
      </w:r>
    </w:p>
    <w:p w:rsidR="00481272" w:rsidRDefault="00481272" w:rsidP="00481272">
      <w:pPr>
        <w:pStyle w:val="NormalWeb"/>
        <w:spacing w:before="0" w:beforeAutospacing="0" w:after="0" w:afterAutospacing="0"/>
        <w:ind w:left="720"/>
        <w:jc w:val="both"/>
        <w:rPr>
          <w:color w:val="0E101A"/>
        </w:rPr>
      </w:pPr>
    </w:p>
    <w:p w:rsidR="00481272" w:rsidRPr="00481272" w:rsidRDefault="00C13E17" w:rsidP="00481272">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id-ID"/>
        </w:rPr>
      </w:pPr>
      <w:r w:rsidRPr="00E33F4B">
        <w:rPr>
          <w:rFonts w:ascii="Times New Roman" w:eastAsia="Times New Roman" w:hAnsi="Times New Roman" w:cs="Times New Roman"/>
          <w:b/>
          <w:bCs/>
          <w:color w:val="000000"/>
          <w:sz w:val="24"/>
          <w:szCs w:val="24"/>
          <w:lang w:eastAsia="id-ID"/>
        </w:rPr>
        <w:t>INTRODUCTION</w:t>
      </w:r>
    </w:p>
    <w:p w:rsidR="00481272" w:rsidRDefault="00481272" w:rsidP="00481272">
      <w:pPr>
        <w:pStyle w:val="NormalWeb"/>
        <w:spacing w:before="0" w:beforeAutospacing="0" w:after="0" w:afterAutospacing="0" w:line="360" w:lineRule="auto"/>
        <w:ind w:left="720" w:firstLine="720"/>
        <w:jc w:val="both"/>
        <w:rPr>
          <w:color w:val="0E101A"/>
        </w:rPr>
      </w:pPr>
      <w:r>
        <w:rPr>
          <w:color w:val="0E101A"/>
        </w:rPr>
        <w:t>The sharia system has a mission to prevent the practice of bonded labor, usury, other improper debts, and improving the welfare of the community, especially for the lower middle class (Article 7 PP No.103 of 2000).</w:t>
      </w:r>
      <w:r w:rsidR="00A10FB0">
        <w:rPr>
          <w:rStyle w:val="FootnoteReference"/>
          <w:color w:val="0E101A"/>
        </w:rPr>
        <w:footnoteReference w:id="4"/>
      </w:r>
      <w:r>
        <w:rPr>
          <w:color w:val="0E101A"/>
        </w:rPr>
        <w:t xml:space="preserve"> The Bank Indonesia</w:t>
      </w:r>
      <w:r w:rsidR="00A10FB0">
        <w:rPr>
          <w:rStyle w:val="FootnoteReference"/>
          <w:color w:val="0E101A"/>
        </w:rPr>
        <w:footnoteReference w:id="5"/>
      </w:r>
      <w:r>
        <w:rPr>
          <w:color w:val="0E101A"/>
        </w:rPr>
        <w:t xml:space="preserve"> states that in realizing the stability of the sharia economic system and its benefits to the economy, this bank encourages the creation of a sharia financial system that can entirely use the sources of funds regulated in sharia and carrying it out in a way and for good purposes. The Sharia Pawn Service Unit is the first step towards a special division that deals with sharia business activities. The operational mechanism of the sharia </w:t>
      </w:r>
      <w:r>
        <w:rPr>
          <w:color w:val="0E101A"/>
        </w:rPr>
        <w:lastRenderedPageBreak/>
        <w:t>pawnshop refers to the modern administrative system, which is the principles of rationality, efficiency, and effectiveness that are aligned with Islamic values that ​have different management from conventional pawning businesses. The Sharia pawnshops have functions in operation, those run by Sharia Pawn Service Units (ULGS) as a unit of an organization under the guidance of other business divisions of the pawnshop company.</w:t>
      </w:r>
      <w:r w:rsidR="00A10FB0">
        <w:rPr>
          <w:rStyle w:val="FootnoteReference"/>
          <w:color w:val="0E101A"/>
        </w:rPr>
        <w:footnoteReference w:id="6"/>
      </w:r>
    </w:p>
    <w:p w:rsidR="00481272" w:rsidRDefault="00481272" w:rsidP="00481272">
      <w:pPr>
        <w:pStyle w:val="NormalWeb"/>
        <w:spacing w:before="0" w:beforeAutospacing="0" w:after="0" w:afterAutospacing="0" w:line="360" w:lineRule="auto"/>
        <w:ind w:left="720" w:firstLine="720"/>
        <w:jc w:val="both"/>
        <w:rPr>
          <w:color w:val="0E101A"/>
        </w:rPr>
      </w:pPr>
      <w:r>
        <w:rPr>
          <w:color w:val="0E101A"/>
        </w:rPr>
        <w:t>It is believed that operational mechanisms following the Islamic economic system in financial institutions are an alternative that has advantages for customers, banks, and non-bank financial institutions to avoid usury. However, the problems that occurred in the field did not stop there. Because the market competition situation is increasingly complex. It can be seen from arising new financial institutions emerged, where they competed to provide diverse and attractive services, such as a pawnshop institution. Especially at this time, the Financial Services Authority (OJK) has opened for private parties who want to participate in opening a pawnshop business. It's stated in POJK No.31 / POJK.05 / 2016 concerning pawnshops</w:t>
      </w:r>
      <w:r w:rsidR="00A10FB0">
        <w:rPr>
          <w:rStyle w:val="FootnoteReference"/>
          <w:color w:val="0E101A"/>
        </w:rPr>
        <w:footnoteReference w:id="7"/>
      </w:r>
      <w:r>
        <w:rPr>
          <w:color w:val="0E101A"/>
        </w:rPr>
        <w:t>. Pawn companies that are regulated and supervised by OJK are government pawn companies ( PT. Pegadaian (Persero)) and private pawn companies. As of May 2018, 92 private pawnshops have been registered to the Financial Services Authority has granted business licenses to 24 private pawnshops</w:t>
      </w:r>
      <w:r w:rsidR="00A10FB0">
        <w:rPr>
          <w:rStyle w:val="FootnoteReference"/>
          <w:color w:val="0E101A"/>
        </w:rPr>
        <w:footnoteReference w:id="8"/>
      </w:r>
      <w:r>
        <w:rPr>
          <w:color w:val="0E101A"/>
        </w:rPr>
        <w:t>. Based on data and statistics obtained from financial services authorities. Now Islamic pawnshops will not only compete with conventional pawnshops in terms of providing loans to customers but will also compete with private pawnshops. It can be seen in the table based on the distribution of loans to customers.</w:t>
      </w:r>
    </w:p>
    <w:p w:rsidR="00C13E17" w:rsidRPr="006C6FA0" w:rsidRDefault="00C13E17" w:rsidP="00B6517A">
      <w:pPr>
        <w:spacing w:after="0" w:line="360" w:lineRule="auto"/>
        <w:ind w:left="142" w:hanging="38"/>
        <w:jc w:val="center"/>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b/>
          <w:bCs/>
          <w:color w:val="000000"/>
          <w:sz w:val="24"/>
          <w:szCs w:val="24"/>
          <w:lang w:eastAsia="id-ID"/>
        </w:rPr>
        <w:t>Table 1</w:t>
      </w:r>
    </w:p>
    <w:p w:rsidR="00C13E17" w:rsidRPr="006C6FA0" w:rsidRDefault="00C13E17" w:rsidP="00B3717A">
      <w:pPr>
        <w:spacing w:after="0" w:line="360" w:lineRule="auto"/>
        <w:ind w:left="142" w:hanging="38"/>
        <w:jc w:val="center"/>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b/>
          <w:bCs/>
          <w:color w:val="000000"/>
          <w:sz w:val="24"/>
          <w:szCs w:val="24"/>
          <w:lang w:eastAsia="id-ID"/>
        </w:rPr>
        <w:t>Loans Disbursed by Pawnshops (Rp. Billion)</w:t>
      </w:r>
    </w:p>
    <w:tbl>
      <w:tblPr>
        <w:tblW w:w="0" w:type="auto"/>
        <w:jc w:val="center"/>
        <w:tblCellMar>
          <w:left w:w="0" w:type="dxa"/>
          <w:right w:w="0" w:type="dxa"/>
        </w:tblCellMar>
        <w:tblLook w:val="04A0"/>
      </w:tblPr>
      <w:tblGrid>
        <w:gridCol w:w="2480"/>
        <w:gridCol w:w="1134"/>
        <w:gridCol w:w="1383"/>
        <w:gridCol w:w="1276"/>
        <w:gridCol w:w="1168"/>
      </w:tblGrid>
      <w:tr w:rsidR="00C13E17" w:rsidRPr="006C6FA0" w:rsidTr="00C13E17">
        <w:trPr>
          <w:jc w:val="center"/>
        </w:trPr>
        <w:tc>
          <w:tcPr>
            <w:tcW w:w="2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sz w:val="24"/>
                <w:szCs w:val="24"/>
                <w:lang w:eastAsia="id-ID"/>
              </w:rPr>
              <w:t>Information</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sz w:val="24"/>
                <w:szCs w:val="24"/>
                <w:lang w:eastAsia="id-ID"/>
              </w:rPr>
              <w:t>June 2018</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sz w:val="24"/>
                <w:szCs w:val="24"/>
                <w:lang w:eastAsia="id-ID"/>
              </w:rPr>
              <w:t>September 2018</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sz w:val="24"/>
                <w:szCs w:val="24"/>
                <w:lang w:eastAsia="id-ID"/>
              </w:rPr>
              <w:t>December 2018</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sz w:val="24"/>
                <w:szCs w:val="24"/>
                <w:lang w:eastAsia="id-ID"/>
              </w:rPr>
              <w:t>March 2019</w:t>
            </w:r>
          </w:p>
        </w:tc>
      </w:tr>
      <w:tr w:rsidR="00C13E17" w:rsidRPr="006C6FA0" w:rsidTr="00C13E17">
        <w:trPr>
          <w:jc w:val="center"/>
        </w:trPr>
        <w:tc>
          <w:tcPr>
            <w:tcW w:w="2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Government Pawnshops (Conventional)</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29,584</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29,381</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29,420</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30,165</w:t>
            </w:r>
          </w:p>
        </w:tc>
      </w:tr>
      <w:tr w:rsidR="00C13E17" w:rsidRPr="006C6FA0" w:rsidTr="00C13E17">
        <w:trPr>
          <w:jc w:val="center"/>
        </w:trPr>
        <w:tc>
          <w:tcPr>
            <w:tcW w:w="2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lastRenderedPageBreak/>
              <w:t>Government Pawnshops (Sharia)</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3,996</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4,492</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4,671</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4,803</w:t>
            </w:r>
          </w:p>
        </w:tc>
      </w:tr>
      <w:tr w:rsidR="00C13E17" w:rsidRPr="006C6FA0" w:rsidTr="00C13E17">
        <w:trPr>
          <w:jc w:val="center"/>
        </w:trPr>
        <w:tc>
          <w:tcPr>
            <w:tcW w:w="2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Private Pawn Shops (Conventional)</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1.74</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1.80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2.29</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2.31</w:t>
            </w:r>
          </w:p>
        </w:tc>
      </w:tr>
    </w:tbl>
    <w:p w:rsidR="00C13E17" w:rsidRPr="006C6FA0" w:rsidRDefault="00C13E17" w:rsidP="00B3717A">
      <w:pPr>
        <w:spacing w:after="0" w:line="360" w:lineRule="auto"/>
        <w:ind w:left="180" w:firstLine="540"/>
        <w:jc w:val="both"/>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color w:val="000000"/>
          <w:sz w:val="24"/>
          <w:szCs w:val="24"/>
          <w:lang w:eastAsia="id-ID"/>
        </w:rPr>
        <w:t>Source: OJK data and statistics</w:t>
      </w:r>
      <w:bookmarkStart w:id="2" w:name="_ftnref8"/>
      <w:bookmarkEnd w:id="2"/>
      <w:r w:rsidR="00A10FB0">
        <w:rPr>
          <w:rStyle w:val="FootnoteReference"/>
          <w:rFonts w:ascii="Times New Roman" w:eastAsia="Times New Roman" w:hAnsi="Times New Roman" w:cs="Times New Roman"/>
          <w:color w:val="000000"/>
          <w:sz w:val="24"/>
          <w:szCs w:val="24"/>
          <w:lang w:eastAsia="id-ID"/>
        </w:rPr>
        <w:footnoteReference w:id="9"/>
      </w:r>
    </w:p>
    <w:p w:rsidR="00706A5E" w:rsidRDefault="00481272" w:rsidP="00706A5E">
      <w:pPr>
        <w:pStyle w:val="NormalWeb"/>
        <w:spacing w:before="0" w:beforeAutospacing="0" w:after="0" w:afterAutospacing="0" w:line="360" w:lineRule="auto"/>
        <w:ind w:firstLine="720"/>
        <w:jc w:val="both"/>
        <w:rPr>
          <w:color w:val="0E101A"/>
        </w:rPr>
      </w:pPr>
      <w:r>
        <w:rPr>
          <w:color w:val="0E101A"/>
        </w:rPr>
        <w:t>With these problems, sharia pawnshops must prepare to compete to face competition with private pawnshops and review company performance because all pawnshop services are the same using customer satisfaction-oriented service aspects. The effort made to be able to compete and survive from other financial institutions is to use a customer relationship management strategy as the main task for future development</w:t>
      </w:r>
      <w:r w:rsidR="00A10FB0">
        <w:rPr>
          <w:rStyle w:val="FootnoteReference"/>
          <w:color w:val="0E101A"/>
        </w:rPr>
        <w:footnoteReference w:id="10"/>
      </w:r>
      <w:r>
        <w:rPr>
          <w:color w:val="0E101A"/>
        </w:rPr>
        <w:t>. The service quality is the key to achieving maximum performance. The quality is created from the activities of the company in delivering the goods or services to customers. The creation of the quality of goods and services is a long-term process. However, to achieve it requires maximum effort. The changing competition, and customer preferences, is not a new challenge for the company by using a good and strategic quality that can create superior value for the products offered to customers.</w:t>
      </w:r>
    </w:p>
    <w:p w:rsidR="00481272" w:rsidRDefault="00481272" w:rsidP="00706A5E">
      <w:pPr>
        <w:pStyle w:val="NormalWeb"/>
        <w:spacing w:before="0" w:beforeAutospacing="0" w:after="0" w:afterAutospacing="0" w:line="360" w:lineRule="auto"/>
        <w:ind w:firstLine="720"/>
        <w:jc w:val="both"/>
        <w:rPr>
          <w:color w:val="0E101A"/>
        </w:rPr>
      </w:pPr>
      <w:r>
        <w:rPr>
          <w:color w:val="0E101A"/>
        </w:rPr>
        <w:t>Furthermore, the service quality will be a serious problem when there are differences in perspective, different ideas on measuring service quality. Referring to Kang</w:t>
      </w:r>
      <w:r w:rsidR="00A10FB0">
        <w:rPr>
          <w:rStyle w:val="FootnoteReference"/>
          <w:color w:val="0E101A"/>
        </w:rPr>
        <w:footnoteReference w:id="11"/>
      </w:r>
      <w:r>
        <w:rPr>
          <w:color w:val="0E101A"/>
        </w:rPr>
        <w:t>, Sharma, and Metha</w:t>
      </w:r>
      <w:r w:rsidR="00A10FB0">
        <w:rPr>
          <w:rStyle w:val="FootnoteReference"/>
          <w:color w:val="0E101A"/>
        </w:rPr>
        <w:footnoteReference w:id="12"/>
      </w:r>
      <w:r>
        <w:rPr>
          <w:color w:val="0E101A"/>
        </w:rPr>
        <w:t xml:space="preserve"> identified two different views: first is the view of European researchers ( </w:t>
      </w:r>
      <w:r>
        <w:rPr>
          <w:rStyle w:val="Emphasis"/>
          <w:color w:val="0E101A"/>
        </w:rPr>
        <w:t>Nordic Perspective </w:t>
      </w:r>
      <w:r>
        <w:rPr>
          <w:color w:val="0E101A"/>
        </w:rPr>
        <w:t>) argues that service quality measure from the functional dimension ( </w:t>
      </w:r>
      <w:r>
        <w:rPr>
          <w:rStyle w:val="Emphasis"/>
          <w:color w:val="0E101A"/>
        </w:rPr>
        <w:t>process </w:t>
      </w:r>
      <w:r>
        <w:rPr>
          <w:color w:val="0E101A"/>
        </w:rPr>
        <w:t>) and the technical dimension ( </w:t>
      </w:r>
      <w:r>
        <w:rPr>
          <w:rStyle w:val="Emphasis"/>
          <w:color w:val="0E101A"/>
        </w:rPr>
        <w:t>outcome </w:t>
      </w:r>
      <w:r>
        <w:rPr>
          <w:color w:val="0E101A"/>
        </w:rPr>
        <w:t>). The second is the view of American researchers ( </w:t>
      </w:r>
      <w:r>
        <w:rPr>
          <w:rStyle w:val="Emphasis"/>
          <w:color w:val="0E101A"/>
        </w:rPr>
        <w:t>American Perspective </w:t>
      </w:r>
      <w:r>
        <w:rPr>
          <w:color w:val="0E101A"/>
        </w:rPr>
        <w:t>) stated that service quality dimensioned by </w:t>
      </w:r>
      <w:r>
        <w:rPr>
          <w:rStyle w:val="Emphasis"/>
          <w:color w:val="0E101A"/>
        </w:rPr>
        <w:t>tangibles, reliability, responsiveness, assurance, </w:t>
      </w:r>
      <w:r>
        <w:rPr>
          <w:color w:val="0E101A"/>
        </w:rPr>
        <w:t>and </w:t>
      </w:r>
      <w:r>
        <w:rPr>
          <w:rStyle w:val="Emphasis"/>
          <w:color w:val="0E101A"/>
        </w:rPr>
        <w:t>empathy</w:t>
      </w:r>
      <w:r>
        <w:rPr>
          <w:color w:val="0E101A"/>
        </w:rPr>
        <w:t>. With these differences, the problems related to service quality are a strategic study to be studied more.</w:t>
      </w:r>
    </w:p>
    <w:p w:rsidR="00C13E17" w:rsidRPr="00E0717B" w:rsidRDefault="00E0717B" w:rsidP="00E0717B">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id-ID"/>
        </w:rPr>
      </w:pPr>
      <w:r w:rsidRPr="00E0717B">
        <w:rPr>
          <w:rFonts w:ascii="Times New Roman" w:eastAsia="Times New Roman" w:hAnsi="Times New Roman" w:cs="Times New Roman"/>
          <w:b/>
          <w:bCs/>
          <w:color w:val="000000"/>
          <w:sz w:val="24"/>
          <w:szCs w:val="24"/>
          <w:lang w:eastAsia="id-ID"/>
        </w:rPr>
        <w:t xml:space="preserve"> </w:t>
      </w:r>
      <w:r w:rsidR="00C13E17" w:rsidRPr="00E0717B">
        <w:rPr>
          <w:rFonts w:ascii="Times New Roman" w:eastAsia="Times New Roman" w:hAnsi="Times New Roman" w:cs="Times New Roman"/>
          <w:b/>
          <w:bCs/>
          <w:color w:val="000000"/>
          <w:sz w:val="24"/>
          <w:szCs w:val="24"/>
          <w:lang w:eastAsia="id-ID"/>
        </w:rPr>
        <w:t>RESEARCH METHOD</w:t>
      </w:r>
    </w:p>
    <w:p w:rsidR="00522326" w:rsidRPr="00522326" w:rsidRDefault="00432E83" w:rsidP="005223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used </w:t>
      </w:r>
      <w:r w:rsidR="00522326" w:rsidRPr="00522326">
        <w:rPr>
          <w:rFonts w:ascii="Times New Roman" w:hAnsi="Times New Roman" w:cs="Times New Roman"/>
          <w:sz w:val="24"/>
          <w:szCs w:val="24"/>
        </w:rPr>
        <w:t xml:space="preserve">descriptive analysis and </w:t>
      </w:r>
      <w:r>
        <w:rPr>
          <w:rFonts w:ascii="Times New Roman" w:hAnsi="Times New Roman" w:cs="Times New Roman"/>
          <w:sz w:val="24"/>
          <w:szCs w:val="24"/>
        </w:rPr>
        <w:t xml:space="preserve">quantitative methods with </w:t>
      </w:r>
      <w:r w:rsidR="00522326" w:rsidRPr="00522326">
        <w:rPr>
          <w:rFonts w:ascii="Times New Roman" w:hAnsi="Times New Roman" w:cs="Times New Roman"/>
          <w:sz w:val="24"/>
          <w:szCs w:val="24"/>
        </w:rPr>
        <w:t>case study research</w:t>
      </w:r>
      <w:r>
        <w:rPr>
          <w:rFonts w:ascii="Times New Roman" w:hAnsi="Times New Roman" w:cs="Times New Roman"/>
          <w:sz w:val="24"/>
          <w:szCs w:val="24"/>
        </w:rPr>
        <w:t xml:space="preserve"> model</w:t>
      </w:r>
      <w:r w:rsidR="00522326" w:rsidRPr="00522326">
        <w:rPr>
          <w:rFonts w:ascii="Times New Roman" w:hAnsi="Times New Roman" w:cs="Times New Roman"/>
          <w:sz w:val="24"/>
          <w:szCs w:val="24"/>
        </w:rPr>
        <w:t xml:space="preserve">. According to Maxfield, case study research is </w:t>
      </w:r>
      <w:r>
        <w:rPr>
          <w:rFonts w:ascii="Times New Roman" w:hAnsi="Times New Roman" w:cs="Times New Roman"/>
          <w:sz w:val="24"/>
          <w:szCs w:val="24"/>
        </w:rPr>
        <w:t>a study</w:t>
      </w:r>
      <w:r w:rsidR="00522326" w:rsidRPr="00522326">
        <w:rPr>
          <w:rFonts w:ascii="Times New Roman" w:hAnsi="Times New Roman" w:cs="Times New Roman"/>
          <w:sz w:val="24"/>
          <w:szCs w:val="24"/>
        </w:rPr>
        <w:t xml:space="preserve"> on the status of the object of research with respect to a specific phase of the whole personality which aims to </w:t>
      </w:r>
      <w:r w:rsidR="00522326" w:rsidRPr="00522326">
        <w:rPr>
          <w:rFonts w:ascii="Times New Roman" w:hAnsi="Times New Roman" w:cs="Times New Roman"/>
          <w:sz w:val="24"/>
          <w:szCs w:val="24"/>
        </w:rPr>
        <w:lastRenderedPageBreak/>
        <w:t>make systematic, factual, and accurate descriptions of the facts and characteristics of a particular population or area. </w:t>
      </w:r>
      <w:r w:rsidR="00A10FB0">
        <w:rPr>
          <w:rStyle w:val="FootnoteReference"/>
          <w:rFonts w:ascii="Times New Roman" w:hAnsi="Times New Roman" w:cs="Times New Roman"/>
          <w:sz w:val="24"/>
          <w:szCs w:val="24"/>
        </w:rPr>
        <w:footnoteReference w:id="13"/>
      </w:r>
      <w:hyperlink r:id="rId10" w:anchor="_ftn12" w:tgtFrame="_blank" w:history="1">
        <w:r w:rsidR="00522326" w:rsidRPr="00522326">
          <w:rPr>
            <w:rStyle w:val="Hyperlink"/>
            <w:rFonts w:ascii="Times New Roman" w:hAnsi="Times New Roman" w:cs="Times New Roman"/>
            <w:color w:val="4A6EE0"/>
            <w:sz w:val="24"/>
            <w:szCs w:val="24"/>
          </w:rPr>
          <w:t> </w:t>
        </w:r>
      </w:hyperlink>
      <w:r w:rsidR="00522326" w:rsidRPr="00522326">
        <w:rPr>
          <w:rFonts w:ascii="Times New Roman" w:hAnsi="Times New Roman" w:cs="Times New Roman"/>
          <w:sz w:val="24"/>
          <w:szCs w:val="24"/>
        </w:rPr>
        <w:t>In a case study, the researcher collects a lot and broad information about an object</w:t>
      </w:r>
      <w:r w:rsidR="00A10FB0">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r w:rsidR="00522326" w:rsidRPr="00522326">
        <w:rPr>
          <w:rFonts w:ascii="Times New Roman" w:hAnsi="Times New Roman" w:cs="Times New Roman"/>
          <w:sz w:val="24"/>
          <w:szCs w:val="24"/>
        </w:rPr>
        <w:t xml:space="preserve">while the quantitative method is a method used to present research results in the form of numbers or statistics. </w:t>
      </w:r>
      <w:r>
        <w:rPr>
          <w:rFonts w:ascii="Times New Roman" w:hAnsi="Times New Roman" w:cs="Times New Roman"/>
          <w:sz w:val="24"/>
          <w:szCs w:val="24"/>
        </w:rPr>
        <w:t>The q</w:t>
      </w:r>
      <w:r w:rsidR="00522326" w:rsidRPr="00522326">
        <w:rPr>
          <w:rFonts w:ascii="Times New Roman" w:hAnsi="Times New Roman" w:cs="Times New Roman"/>
          <w:sz w:val="24"/>
          <w:szCs w:val="24"/>
        </w:rPr>
        <w:t>uantitative methods are also used to test hypotheses.</w:t>
      </w:r>
    </w:p>
    <w:p w:rsidR="00C13E17" w:rsidRPr="00432E83" w:rsidRDefault="00C13E17" w:rsidP="00432E83">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id-ID"/>
        </w:rPr>
      </w:pPr>
      <w:r w:rsidRPr="00432E83">
        <w:rPr>
          <w:rFonts w:ascii="Times New Roman" w:eastAsia="Times New Roman" w:hAnsi="Times New Roman" w:cs="Times New Roman"/>
          <w:b/>
          <w:bCs/>
          <w:color w:val="000000"/>
          <w:sz w:val="24"/>
          <w:szCs w:val="24"/>
          <w:lang w:eastAsia="id-ID"/>
        </w:rPr>
        <w:t> RESULTS AND DISCUSSION</w:t>
      </w:r>
    </w:p>
    <w:p w:rsidR="00706A5E" w:rsidRPr="00706A5E" w:rsidRDefault="00706A5E" w:rsidP="00706A5E">
      <w:p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b/>
          <w:bCs/>
          <w:color w:val="0E101A"/>
          <w:sz w:val="24"/>
          <w:szCs w:val="24"/>
          <w:lang w:eastAsia="id-ID"/>
        </w:rPr>
        <w:t>Customer Satisfaction</w:t>
      </w:r>
    </w:p>
    <w:p w:rsidR="00706A5E" w:rsidRPr="00706A5E" w:rsidRDefault="00706A5E" w:rsidP="000F73C2">
      <w:pPr>
        <w:spacing w:after="0" w:line="360" w:lineRule="auto"/>
        <w:ind w:firstLine="720"/>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Customer satisfaction is a key concept in both theoretical and marketing practice, as well as being the main endpoint for all business activities</w:t>
      </w:r>
      <w:r w:rsidR="00A10FB0">
        <w:rPr>
          <w:rStyle w:val="FootnoteReference"/>
          <w:rFonts w:ascii="Times New Roman" w:eastAsia="Times New Roman" w:hAnsi="Times New Roman" w:cs="Times New Roman"/>
          <w:color w:val="0E101A"/>
          <w:sz w:val="24"/>
          <w:szCs w:val="24"/>
          <w:lang w:eastAsia="id-ID"/>
        </w:rPr>
        <w:footnoteReference w:id="15"/>
      </w:r>
      <w:r w:rsidRPr="00706A5E">
        <w:rPr>
          <w:rFonts w:ascii="Times New Roman" w:eastAsia="Times New Roman" w:hAnsi="Times New Roman" w:cs="Times New Roman"/>
          <w:color w:val="0E101A"/>
          <w:sz w:val="24"/>
          <w:szCs w:val="24"/>
          <w:lang w:eastAsia="id-ID"/>
        </w:rPr>
        <w:t>. The definition of customer satisfaction according to Philip Kotler and Gary Armstrong that is the level of product performance that is considered following the buyer's expectations</w:t>
      </w:r>
      <w:r w:rsidR="00A10FB0">
        <w:rPr>
          <w:rStyle w:val="FootnoteReference"/>
          <w:rFonts w:ascii="Times New Roman" w:eastAsia="Times New Roman" w:hAnsi="Times New Roman" w:cs="Times New Roman"/>
          <w:color w:val="0E101A"/>
          <w:sz w:val="24"/>
          <w:szCs w:val="24"/>
          <w:lang w:eastAsia="id-ID"/>
        </w:rPr>
        <w:footnoteReference w:id="16"/>
      </w:r>
      <w:r w:rsidRPr="00706A5E">
        <w:rPr>
          <w:rFonts w:ascii="Times New Roman" w:eastAsia="Times New Roman" w:hAnsi="Times New Roman" w:cs="Times New Roman"/>
          <w:color w:val="0E101A"/>
          <w:sz w:val="24"/>
          <w:szCs w:val="24"/>
          <w:lang w:eastAsia="id-ID"/>
        </w:rPr>
        <w:t>. Meanwhile, according to the Markenis Team, customer satisfaction is the feeling of pleasure or disappointment that a person gets from comparing the perceived product performance with his expectations.</w:t>
      </w:r>
      <w:r w:rsidR="00A10FB0">
        <w:rPr>
          <w:rStyle w:val="FootnoteReference"/>
          <w:rFonts w:ascii="Times New Roman" w:eastAsia="Times New Roman" w:hAnsi="Times New Roman" w:cs="Times New Roman"/>
          <w:color w:val="0E101A"/>
          <w:sz w:val="24"/>
          <w:szCs w:val="24"/>
          <w:lang w:eastAsia="id-ID"/>
        </w:rPr>
        <w:footnoteReference w:id="17"/>
      </w:r>
      <w:r w:rsidRPr="00706A5E">
        <w:rPr>
          <w:rFonts w:ascii="Times New Roman" w:eastAsia="Times New Roman" w:hAnsi="Times New Roman" w:cs="Times New Roman"/>
          <w:color w:val="0E101A"/>
          <w:sz w:val="24"/>
          <w:szCs w:val="24"/>
          <w:lang w:eastAsia="id-ID"/>
        </w:rPr>
        <w:t xml:space="preserve"> Bloemer, et, al., Showed that customer satisfaction is an important element in fostering customer loyalty. Customer satisfaction is an attitude after the final process of a purchase which is formed psychologically based on a comparison between what is expected and the reality obtained</w:t>
      </w:r>
      <w:r w:rsidR="00A10FB0">
        <w:rPr>
          <w:rStyle w:val="FootnoteReference"/>
          <w:rFonts w:ascii="Times New Roman" w:eastAsia="Times New Roman" w:hAnsi="Times New Roman" w:cs="Times New Roman"/>
          <w:color w:val="0E101A"/>
          <w:sz w:val="24"/>
          <w:szCs w:val="24"/>
          <w:lang w:eastAsia="id-ID"/>
        </w:rPr>
        <w:footnoteReference w:id="18"/>
      </w:r>
      <w:r w:rsidRPr="00706A5E">
        <w:rPr>
          <w:rFonts w:ascii="Times New Roman" w:eastAsia="Times New Roman" w:hAnsi="Times New Roman" w:cs="Times New Roman"/>
          <w:color w:val="0E101A"/>
          <w:sz w:val="24"/>
          <w:szCs w:val="24"/>
          <w:lang w:eastAsia="id-ID"/>
        </w:rPr>
        <w:t>. This understanding can be further clarified by Oliver's expression that satisfaction is the level of feelings of a customer after comparing the performance with what he expects. Service is expected to make customers feel satisfied by giving customers what they need and want.</w:t>
      </w:r>
    </w:p>
    <w:p w:rsidR="00706A5E" w:rsidRPr="00706A5E" w:rsidRDefault="00706A5E" w:rsidP="000F73C2">
      <w:pPr>
        <w:spacing w:after="0" w:line="360" w:lineRule="auto"/>
        <w:ind w:firstLine="720"/>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Cronin et, al ., Showed six core concepts in measuring customer satisfaction in the service sector, that are:</w:t>
      </w:r>
    </w:p>
    <w:p w:rsidR="00706A5E" w:rsidRPr="00706A5E" w:rsidRDefault="00706A5E" w:rsidP="00706A5E">
      <w:pPr>
        <w:numPr>
          <w:ilvl w:val="0"/>
          <w:numId w:val="6"/>
        </w:num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Overall the simplest way to measure customer satisfaction is to directly ask customers how satisfied they are with the service. This can be done by measuring the level of customer satisfaction with the company's services and comparing it with the services of competitors.     </w:t>
      </w:r>
    </w:p>
    <w:p w:rsidR="00706A5E" w:rsidRPr="00706A5E" w:rsidRDefault="00706A5E" w:rsidP="00706A5E">
      <w:pPr>
        <w:numPr>
          <w:ilvl w:val="0"/>
          <w:numId w:val="6"/>
        </w:num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lastRenderedPageBreak/>
        <w:t>Dimensions of customer satisfaction generally consist of four steps: identifying key dimensions of service quality, asking customers to rate company services based on specific items, asking customers to rate competitor services based on the same specific items. , and determine the dimensions they think are most important in assessing overall customer satisfaction.     </w:t>
      </w:r>
    </w:p>
    <w:p w:rsidR="00706A5E" w:rsidRPr="00706A5E" w:rsidRDefault="00706A5E" w:rsidP="00706A5E">
      <w:pPr>
        <w:numPr>
          <w:ilvl w:val="0"/>
          <w:numId w:val="6"/>
        </w:num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Confirmation of expectation</w:t>
      </w:r>
      <w:r w:rsidRPr="00706A5E">
        <w:rPr>
          <w:rFonts w:ascii="Times New Roman" w:eastAsia="Times New Roman" w:hAnsi="Times New Roman" w:cs="Times New Roman"/>
          <w:i/>
          <w:iCs/>
          <w:color w:val="0E101A"/>
          <w:sz w:val="24"/>
          <w:szCs w:val="24"/>
          <w:lang w:eastAsia="id-ID"/>
        </w:rPr>
        <w:t> </w:t>
      </w:r>
      <w:r w:rsidRPr="00706A5E">
        <w:rPr>
          <w:rFonts w:ascii="Times New Roman" w:eastAsia="Times New Roman" w:hAnsi="Times New Roman" w:cs="Times New Roman"/>
          <w:color w:val="0E101A"/>
          <w:sz w:val="24"/>
          <w:szCs w:val="24"/>
          <w:lang w:eastAsia="id-ID"/>
        </w:rPr>
        <w:t>in this concept of satisfaction is not measured directly but explained based on the conformity between customer expectations with the actual performance of the company's products on several attributes. </w:t>
      </w:r>
    </w:p>
    <w:p w:rsidR="00706A5E" w:rsidRPr="00706A5E" w:rsidRDefault="00706A5E" w:rsidP="00706A5E">
      <w:pPr>
        <w:numPr>
          <w:ilvl w:val="0"/>
          <w:numId w:val="6"/>
        </w:num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Repurchase Intent</w:t>
      </w:r>
      <w:r w:rsidRPr="00706A5E">
        <w:rPr>
          <w:rFonts w:ascii="Times New Roman" w:eastAsia="Times New Roman" w:hAnsi="Times New Roman" w:cs="Times New Roman"/>
          <w:i/>
          <w:iCs/>
          <w:color w:val="0E101A"/>
          <w:sz w:val="24"/>
          <w:szCs w:val="24"/>
          <w:lang w:eastAsia="id-ID"/>
        </w:rPr>
        <w:t> </w:t>
      </w:r>
      <w:r w:rsidRPr="00706A5E">
        <w:rPr>
          <w:rFonts w:ascii="Times New Roman" w:eastAsia="Times New Roman" w:hAnsi="Times New Roman" w:cs="Times New Roman"/>
          <w:color w:val="0E101A"/>
          <w:sz w:val="24"/>
          <w:szCs w:val="24"/>
          <w:lang w:eastAsia="id-ID"/>
        </w:rPr>
        <w:t>customer satisfaction was measured by asking whether the customer will buy or use the services of the company back.     </w:t>
      </w:r>
    </w:p>
    <w:p w:rsidR="00706A5E" w:rsidRPr="00706A5E" w:rsidRDefault="00706A5E" w:rsidP="00706A5E">
      <w:pPr>
        <w:numPr>
          <w:ilvl w:val="0"/>
          <w:numId w:val="6"/>
        </w:num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Willingness to recommend in the case of services where re-purchase is relatively long or even once a purchase occurs, the customer's willingness to recommend services to friends or family is an important measure to be analyzed and followed up.     </w:t>
      </w:r>
    </w:p>
    <w:p w:rsidR="00706A5E" w:rsidRPr="00706A5E" w:rsidRDefault="00706A5E" w:rsidP="00706A5E">
      <w:pPr>
        <w:numPr>
          <w:ilvl w:val="0"/>
          <w:numId w:val="6"/>
        </w:num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Customer dissatisfaction, </w:t>
      </w:r>
      <w:r w:rsidRPr="00706A5E">
        <w:rPr>
          <w:rFonts w:ascii="Times New Roman" w:eastAsia="Times New Roman" w:hAnsi="Times New Roman" w:cs="Times New Roman"/>
          <w:i/>
          <w:iCs/>
          <w:color w:val="0E101A"/>
          <w:sz w:val="24"/>
          <w:szCs w:val="24"/>
          <w:lang w:eastAsia="id-ID"/>
        </w:rPr>
        <w:t> </w:t>
      </w:r>
      <w:r w:rsidRPr="00706A5E">
        <w:rPr>
          <w:rFonts w:ascii="Times New Roman" w:eastAsia="Times New Roman" w:hAnsi="Times New Roman" w:cs="Times New Roman"/>
          <w:color w:val="0E101A"/>
          <w:sz w:val="24"/>
          <w:szCs w:val="24"/>
          <w:lang w:eastAsia="id-ID"/>
        </w:rPr>
        <w:t>some aspects to determining customer dissatisfaction, are: complaints, refund the product, the cost of the warranty, product recall from the market, and customers switch to competitors.</w:t>
      </w:r>
      <w:r w:rsidR="00A10FB0">
        <w:rPr>
          <w:rStyle w:val="FootnoteReference"/>
          <w:rFonts w:ascii="Times New Roman" w:eastAsia="Times New Roman" w:hAnsi="Times New Roman" w:cs="Times New Roman"/>
          <w:color w:val="0E101A"/>
          <w:sz w:val="24"/>
          <w:szCs w:val="24"/>
          <w:lang w:eastAsia="id-ID"/>
        </w:rPr>
        <w:footnoteReference w:id="19"/>
      </w:r>
      <w:r w:rsidRPr="00706A5E">
        <w:rPr>
          <w:rFonts w:ascii="Times New Roman" w:eastAsia="Times New Roman" w:hAnsi="Times New Roman" w:cs="Times New Roman"/>
          <w:color w:val="0E101A"/>
          <w:sz w:val="24"/>
          <w:szCs w:val="24"/>
          <w:lang w:eastAsia="id-ID"/>
        </w:rPr>
        <w:t>  </w:t>
      </w:r>
    </w:p>
    <w:p w:rsidR="00706A5E" w:rsidRPr="00706A5E" w:rsidRDefault="00706A5E" w:rsidP="000F73C2">
      <w:pPr>
        <w:spacing w:after="0" w:line="360" w:lineRule="auto"/>
        <w:ind w:firstLine="360"/>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Kotler and Keller reveal that satisfied customers usually stay loyal for a longer time, buy more when companies introduce new products and update old products, talk about the good things about the company and its products to others, pay little attention to competitors' brands, not sensitive to price, offering product or service ideas to companies, and lower service costs than new customers because transactions can become routine</w:t>
      </w:r>
      <w:r w:rsidR="00A10FB0">
        <w:rPr>
          <w:rStyle w:val="FootnoteReference"/>
          <w:rFonts w:ascii="Times New Roman" w:eastAsia="Times New Roman" w:hAnsi="Times New Roman" w:cs="Times New Roman"/>
          <w:color w:val="0E101A"/>
          <w:sz w:val="24"/>
          <w:szCs w:val="24"/>
          <w:lang w:eastAsia="id-ID"/>
        </w:rPr>
        <w:footnoteReference w:id="20"/>
      </w:r>
      <w:r w:rsidRPr="00706A5E">
        <w:rPr>
          <w:rFonts w:ascii="Times New Roman" w:eastAsia="Times New Roman" w:hAnsi="Times New Roman" w:cs="Times New Roman"/>
          <w:color w:val="0E101A"/>
          <w:sz w:val="24"/>
          <w:szCs w:val="24"/>
          <w:lang w:eastAsia="id-ID"/>
        </w:rPr>
        <w:t>. Kotler also stated that there are 4 methods for measuring customer satisfaction, are:</w:t>
      </w:r>
    </w:p>
    <w:p w:rsidR="00706A5E" w:rsidRPr="00706A5E" w:rsidRDefault="00706A5E" w:rsidP="00706A5E">
      <w:pPr>
        <w:numPr>
          <w:ilvl w:val="0"/>
          <w:numId w:val="7"/>
        </w:num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Complaint and suggestion system Every customer-oriented organization needs to provide wide opportunities for its customers to convey their suggestions, opinions, and complaints. The media be in the form of a suggestion box that is easily accessible to customers or comments that can be filled in directly or that can be sent via post to the company. the information obtained through this method can provide new ideas and valuable input to the company, thus enabling it to react responsively and quickly to solve problems that arise.</w:t>
      </w:r>
    </w:p>
    <w:p w:rsidR="00706A5E" w:rsidRPr="00706A5E" w:rsidRDefault="00706A5E" w:rsidP="00706A5E">
      <w:pPr>
        <w:numPr>
          <w:ilvl w:val="0"/>
          <w:numId w:val="7"/>
        </w:num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 xml:space="preserve">Ghost shopping is One way to get a picture of customer satisfaction is by hiring several people to act or act as customers or potential buyers of the company's products </w:t>
      </w:r>
      <w:r w:rsidRPr="00706A5E">
        <w:rPr>
          <w:rFonts w:ascii="Times New Roman" w:eastAsia="Times New Roman" w:hAnsi="Times New Roman" w:cs="Times New Roman"/>
          <w:color w:val="0E101A"/>
          <w:sz w:val="24"/>
          <w:szCs w:val="24"/>
          <w:lang w:eastAsia="id-ID"/>
        </w:rPr>
        <w:lastRenderedPageBreak/>
        <w:t>and competitors. Then they report their findings on the strengths and weaknesses of the company's and competitors' products based on their experience in purchasing these products. Besides, ghost shoppers can also observe how the company and its competitors serve customer requests, answer opinion questions, and handle any complaints.</w:t>
      </w:r>
    </w:p>
    <w:p w:rsidR="00706A5E" w:rsidRPr="00706A5E" w:rsidRDefault="00706A5E" w:rsidP="00706A5E">
      <w:pPr>
        <w:numPr>
          <w:ilvl w:val="0"/>
          <w:numId w:val="7"/>
        </w:num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Analysis of missing customers is that the company contacts customers who have stopped buying or who have moved suppliers to understand why this happened and so they can take further improvement policies.</w:t>
      </w:r>
    </w:p>
    <w:p w:rsidR="00706A5E" w:rsidRPr="00706A5E" w:rsidRDefault="00706A5E" w:rsidP="00706A5E">
      <w:pPr>
        <w:numPr>
          <w:ilvl w:val="0"/>
          <w:numId w:val="7"/>
        </w:num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Customer satisfaction surveys are companies that are responsible for directly measuring customer satisfaction by conducting regular surveys. The survey method is the method most widely used in measuring customer satisfaction</w:t>
      </w:r>
      <w:r w:rsidR="000547B9">
        <w:rPr>
          <w:rStyle w:val="FootnoteReference"/>
          <w:rFonts w:ascii="Times New Roman" w:eastAsia="Times New Roman" w:hAnsi="Times New Roman" w:cs="Times New Roman"/>
          <w:color w:val="0E101A"/>
          <w:sz w:val="24"/>
          <w:szCs w:val="24"/>
          <w:lang w:eastAsia="id-ID"/>
        </w:rPr>
        <w:footnoteReference w:id="21"/>
      </w:r>
      <w:r w:rsidRPr="00706A5E">
        <w:rPr>
          <w:rFonts w:ascii="Times New Roman" w:eastAsia="Times New Roman" w:hAnsi="Times New Roman" w:cs="Times New Roman"/>
          <w:color w:val="0E101A"/>
          <w:sz w:val="24"/>
          <w:szCs w:val="24"/>
          <w:lang w:eastAsia="id-ID"/>
        </w:rPr>
        <w:t>. </w:t>
      </w:r>
    </w:p>
    <w:p w:rsidR="00706A5E" w:rsidRPr="00706A5E" w:rsidRDefault="00706A5E" w:rsidP="000F73C2">
      <w:pPr>
        <w:spacing w:after="0" w:line="360" w:lineRule="auto"/>
        <w:ind w:firstLine="720"/>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Customer satisfaction, often has nothing to do with the core product or service offered. A shift in quality that appeared initially in the production of goods, and has recently penetrated the service industry. Now it is very easy for customers to get good or even super quality goods or services.</w:t>
      </w:r>
    </w:p>
    <w:p w:rsidR="00706A5E" w:rsidRPr="00706A5E" w:rsidRDefault="00706A5E" w:rsidP="00706A5E">
      <w:pPr>
        <w:spacing w:after="0" w:line="360" w:lineRule="auto"/>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b/>
          <w:bCs/>
          <w:color w:val="0E101A"/>
          <w:sz w:val="24"/>
          <w:szCs w:val="24"/>
          <w:lang w:eastAsia="id-ID"/>
        </w:rPr>
        <w:t>Relationship of Service Quality to Customer Satisfaction</w:t>
      </w:r>
    </w:p>
    <w:p w:rsidR="000F73C2" w:rsidRDefault="00706A5E" w:rsidP="000F73C2">
      <w:pPr>
        <w:spacing w:after="0" w:line="360" w:lineRule="auto"/>
        <w:ind w:firstLine="720"/>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Service can be defined as an action that creates benefits for customers by bringing about desired changes on behalf of the recipient. So that the service itself has its value for customers about creating customer values. So it can be concluded that service quality is a relative measure of the perfection or goodness of service as an action or performance that creates benefits for customers</w:t>
      </w:r>
      <w:r w:rsidR="000547B9">
        <w:rPr>
          <w:rStyle w:val="FootnoteReference"/>
          <w:rFonts w:ascii="Times New Roman" w:eastAsia="Times New Roman" w:hAnsi="Times New Roman" w:cs="Times New Roman"/>
          <w:color w:val="0E101A"/>
          <w:sz w:val="24"/>
          <w:szCs w:val="24"/>
          <w:lang w:eastAsia="id-ID"/>
        </w:rPr>
        <w:footnoteReference w:id="22"/>
      </w:r>
      <w:r w:rsidRPr="00706A5E">
        <w:rPr>
          <w:rFonts w:ascii="Times New Roman" w:eastAsia="Times New Roman" w:hAnsi="Times New Roman" w:cs="Times New Roman"/>
          <w:color w:val="0E101A"/>
          <w:sz w:val="24"/>
          <w:szCs w:val="24"/>
          <w:lang w:eastAsia="id-ID"/>
        </w:rPr>
        <w:t>. Pierre Eiglier and Eric Langeard in Lovelock were the first to conceptualize the service business as a system that integrates marketing, operations, and customers. They c</w:t>
      </w:r>
      <w:r w:rsidR="000F73C2">
        <w:rPr>
          <w:rFonts w:ascii="Times New Roman" w:eastAsia="Times New Roman" w:hAnsi="Times New Roman" w:cs="Times New Roman"/>
          <w:color w:val="0E101A"/>
          <w:sz w:val="24"/>
          <w:szCs w:val="24"/>
          <w:lang w:eastAsia="id-ID"/>
        </w:rPr>
        <w:t>oined the term seduction system</w:t>
      </w:r>
      <w:r w:rsidRPr="00706A5E">
        <w:rPr>
          <w:rFonts w:ascii="Times New Roman" w:eastAsia="Times New Roman" w:hAnsi="Times New Roman" w:cs="Times New Roman"/>
          <w:color w:val="0E101A"/>
          <w:sz w:val="24"/>
          <w:szCs w:val="24"/>
          <w:lang w:eastAsia="id-ID"/>
        </w:rPr>
        <w:t xml:space="preserve"> to describe the part of the physical environment of a service organization that customers can see and experience. Consumers buy a service to get a set of benefits or value. Often, the value of a service is derived from the experience created for the customer</w:t>
      </w:r>
      <w:r w:rsidR="000547B9">
        <w:rPr>
          <w:rStyle w:val="FootnoteReference"/>
          <w:rFonts w:ascii="Times New Roman" w:eastAsia="Times New Roman" w:hAnsi="Times New Roman" w:cs="Times New Roman"/>
          <w:color w:val="0E101A"/>
          <w:sz w:val="24"/>
          <w:szCs w:val="24"/>
          <w:lang w:eastAsia="id-ID"/>
        </w:rPr>
        <w:footnoteReference w:id="23"/>
      </w:r>
      <w:r w:rsidRPr="00706A5E">
        <w:rPr>
          <w:rFonts w:ascii="Times New Roman" w:eastAsia="Times New Roman" w:hAnsi="Times New Roman" w:cs="Times New Roman"/>
          <w:color w:val="0E101A"/>
          <w:sz w:val="24"/>
          <w:szCs w:val="24"/>
          <w:lang w:eastAsia="id-ID"/>
        </w:rPr>
        <w:t>.</w:t>
      </w:r>
    </w:p>
    <w:p w:rsidR="000F73C2" w:rsidRDefault="00706A5E" w:rsidP="000F73C2">
      <w:pPr>
        <w:spacing w:after="0" w:line="360" w:lineRule="auto"/>
        <w:ind w:firstLine="720"/>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 xml:space="preserve">Kotler links service quality to customer satisfaction and estimates that overall customer satisfaction becomes positive and substantial when consumers perceive high service quality, perceived service delivery is the same or better than expected. Service quality has a </w:t>
      </w:r>
      <w:r w:rsidRPr="00706A5E">
        <w:rPr>
          <w:rFonts w:ascii="Times New Roman" w:eastAsia="Times New Roman" w:hAnsi="Times New Roman" w:cs="Times New Roman"/>
          <w:color w:val="0E101A"/>
          <w:sz w:val="24"/>
          <w:szCs w:val="24"/>
          <w:lang w:eastAsia="id-ID"/>
        </w:rPr>
        <w:lastRenderedPageBreak/>
        <w:t>close relationship with customer satisfaction</w:t>
      </w:r>
      <w:r w:rsidR="000547B9">
        <w:rPr>
          <w:rStyle w:val="FootnoteReference"/>
          <w:rFonts w:ascii="Times New Roman" w:eastAsia="Times New Roman" w:hAnsi="Times New Roman" w:cs="Times New Roman"/>
          <w:color w:val="0E101A"/>
          <w:sz w:val="24"/>
          <w:szCs w:val="24"/>
          <w:lang w:eastAsia="id-ID"/>
        </w:rPr>
        <w:footnoteReference w:id="24"/>
      </w:r>
      <w:r w:rsidRPr="00706A5E">
        <w:rPr>
          <w:rFonts w:ascii="Times New Roman" w:eastAsia="Times New Roman" w:hAnsi="Times New Roman" w:cs="Times New Roman"/>
          <w:color w:val="0E101A"/>
          <w:sz w:val="24"/>
          <w:szCs w:val="24"/>
          <w:lang w:eastAsia="id-ID"/>
        </w:rPr>
        <w:t>. The use of services carried out by customers, and also the effectiveness of the quality of services provided by the company will have an impact on customer satisfaction. Churchill &amp; Surprenant defines customer satisfaction as the result of the purchase and uses obtained from a comparison between reward and purchase costs with anticipated consequences. Meanwhile, Westbrook &amp; Reilly argues that customer satisfaction is an emotional response to experiences related to certain products or services purchased, retail outlets, or even behavior patterns (such as shopping behavior and buying behavior), as well as the market as a whole</w:t>
      </w:r>
      <w:r w:rsidR="000547B9">
        <w:rPr>
          <w:rStyle w:val="FootnoteReference"/>
          <w:rFonts w:ascii="Times New Roman" w:eastAsia="Times New Roman" w:hAnsi="Times New Roman" w:cs="Times New Roman"/>
          <w:color w:val="0E101A"/>
          <w:sz w:val="24"/>
          <w:szCs w:val="24"/>
          <w:lang w:eastAsia="id-ID"/>
        </w:rPr>
        <w:footnoteReference w:id="25"/>
      </w:r>
      <w:r w:rsidRPr="00706A5E">
        <w:rPr>
          <w:rFonts w:ascii="Times New Roman" w:eastAsia="Times New Roman" w:hAnsi="Times New Roman" w:cs="Times New Roman"/>
          <w:color w:val="0E101A"/>
          <w:sz w:val="24"/>
          <w:szCs w:val="24"/>
          <w:lang w:eastAsia="id-ID"/>
        </w:rPr>
        <w:t>.</w:t>
      </w:r>
    </w:p>
    <w:p w:rsidR="00584692" w:rsidRPr="000547B9" w:rsidRDefault="00706A5E" w:rsidP="000547B9">
      <w:pPr>
        <w:spacing w:after="0" w:line="360" w:lineRule="auto"/>
        <w:ind w:firstLine="720"/>
        <w:jc w:val="both"/>
        <w:rPr>
          <w:rFonts w:ascii="Times New Roman" w:eastAsia="Times New Roman" w:hAnsi="Times New Roman" w:cs="Times New Roman"/>
          <w:color w:val="0E101A"/>
          <w:sz w:val="24"/>
          <w:szCs w:val="24"/>
          <w:lang w:eastAsia="id-ID"/>
        </w:rPr>
      </w:pPr>
      <w:r w:rsidRPr="00706A5E">
        <w:rPr>
          <w:rFonts w:ascii="Times New Roman" w:eastAsia="Times New Roman" w:hAnsi="Times New Roman" w:cs="Times New Roman"/>
          <w:color w:val="0E101A"/>
          <w:sz w:val="24"/>
          <w:szCs w:val="24"/>
          <w:lang w:eastAsia="id-ID"/>
        </w:rPr>
        <w:t xml:space="preserve">The main variables that determine customer satisfaction are expectations </w:t>
      </w:r>
      <w:r w:rsidR="000F73C2">
        <w:rPr>
          <w:rFonts w:ascii="Times New Roman" w:eastAsia="Times New Roman" w:hAnsi="Times New Roman" w:cs="Times New Roman"/>
          <w:color w:val="0E101A"/>
          <w:sz w:val="24"/>
          <w:szCs w:val="24"/>
          <w:lang w:eastAsia="id-ID"/>
        </w:rPr>
        <w:t xml:space="preserve">and perceived performance. </w:t>
      </w:r>
      <w:r w:rsidRPr="00706A5E">
        <w:rPr>
          <w:rFonts w:ascii="Times New Roman" w:eastAsia="Times New Roman" w:hAnsi="Times New Roman" w:cs="Times New Roman"/>
          <w:color w:val="0E101A"/>
          <w:sz w:val="24"/>
          <w:szCs w:val="24"/>
          <w:lang w:eastAsia="id-ID"/>
        </w:rPr>
        <w:t>If the perceived performance exceeds expectations, the customer will feel satisfied, but if on the contrary, the perceived performance is far below the expectations, the customer will feel dissatisfied</w:t>
      </w:r>
      <w:r w:rsidR="000547B9">
        <w:rPr>
          <w:rStyle w:val="FootnoteReference"/>
          <w:rFonts w:ascii="Times New Roman" w:eastAsia="Times New Roman" w:hAnsi="Times New Roman" w:cs="Times New Roman"/>
          <w:color w:val="0E101A"/>
          <w:sz w:val="24"/>
          <w:szCs w:val="24"/>
          <w:lang w:eastAsia="id-ID"/>
        </w:rPr>
        <w:footnoteReference w:id="26"/>
      </w:r>
      <w:r w:rsidRPr="00706A5E">
        <w:rPr>
          <w:rFonts w:ascii="Times New Roman" w:eastAsia="Times New Roman" w:hAnsi="Times New Roman" w:cs="Times New Roman"/>
          <w:color w:val="0E101A"/>
          <w:sz w:val="24"/>
          <w:szCs w:val="24"/>
          <w:lang w:eastAsia="id-ID"/>
        </w:rPr>
        <w:t>. A study by Kassim et.al. found a positive relationship between service quality and customer satisfaction</w:t>
      </w:r>
      <w:r w:rsidR="000547B9">
        <w:rPr>
          <w:rStyle w:val="FootnoteReference"/>
          <w:rFonts w:ascii="Times New Roman" w:eastAsia="Times New Roman" w:hAnsi="Times New Roman" w:cs="Times New Roman"/>
          <w:color w:val="0E101A"/>
          <w:sz w:val="24"/>
          <w:szCs w:val="24"/>
          <w:lang w:eastAsia="id-ID"/>
        </w:rPr>
        <w:footnoteReference w:id="27"/>
      </w:r>
      <w:r w:rsidRPr="00706A5E">
        <w:rPr>
          <w:rFonts w:ascii="Times New Roman" w:eastAsia="Times New Roman" w:hAnsi="Times New Roman" w:cs="Times New Roman"/>
          <w:color w:val="0E101A"/>
          <w:sz w:val="24"/>
          <w:szCs w:val="24"/>
          <w:lang w:eastAsia="id-ID"/>
        </w:rPr>
        <w:t>. Research by Zahay and Griffin based on the results of their study concluded that there is a positive relationship between service quality and several positive customer behaviors, including satisfaction</w:t>
      </w:r>
      <w:r w:rsidR="000547B9">
        <w:rPr>
          <w:rStyle w:val="FootnoteReference"/>
          <w:rFonts w:ascii="Times New Roman" w:eastAsia="Times New Roman" w:hAnsi="Times New Roman" w:cs="Times New Roman"/>
          <w:color w:val="0E101A"/>
          <w:sz w:val="24"/>
          <w:szCs w:val="24"/>
          <w:lang w:eastAsia="id-ID"/>
        </w:rPr>
        <w:footnoteReference w:id="28"/>
      </w:r>
      <w:r w:rsidRPr="00706A5E">
        <w:rPr>
          <w:rFonts w:ascii="Times New Roman" w:eastAsia="Times New Roman" w:hAnsi="Times New Roman" w:cs="Times New Roman"/>
          <w:color w:val="0E101A"/>
          <w:sz w:val="24"/>
          <w:szCs w:val="24"/>
          <w:lang w:eastAsia="id-ID"/>
        </w:rPr>
        <w:t>. Positive results were also found in Jones and Taylor's research where the construct of service quality, which is one of the dimensions of CRM, is concluded to have a positive effect on customer satisfaction</w:t>
      </w:r>
      <w:r w:rsidR="000547B9">
        <w:rPr>
          <w:rStyle w:val="FootnoteReference"/>
          <w:rFonts w:ascii="Times New Roman" w:eastAsia="Times New Roman" w:hAnsi="Times New Roman" w:cs="Times New Roman"/>
          <w:color w:val="0E101A"/>
          <w:sz w:val="24"/>
          <w:szCs w:val="24"/>
          <w:lang w:eastAsia="id-ID"/>
        </w:rPr>
        <w:footnoteReference w:id="29"/>
      </w:r>
      <w:r w:rsidRPr="00706A5E">
        <w:rPr>
          <w:rFonts w:ascii="Times New Roman" w:eastAsia="Times New Roman" w:hAnsi="Times New Roman" w:cs="Times New Roman"/>
          <w:color w:val="0E101A"/>
          <w:sz w:val="24"/>
          <w:szCs w:val="24"/>
          <w:lang w:eastAsia="id-ID"/>
        </w:rPr>
        <w:t>. Gounaris et al .; study. Kassim found that the quality of bank services had a positive impact on customer satisfact</w:t>
      </w:r>
      <w:r w:rsidR="000547B9">
        <w:rPr>
          <w:rFonts w:ascii="Times New Roman" w:eastAsia="Times New Roman" w:hAnsi="Times New Roman" w:cs="Times New Roman"/>
          <w:color w:val="0E101A"/>
          <w:sz w:val="24"/>
          <w:szCs w:val="24"/>
          <w:lang w:eastAsia="id-ID"/>
        </w:rPr>
        <w:t>ion</w:t>
      </w:r>
      <w:r w:rsidR="000547B9">
        <w:rPr>
          <w:rStyle w:val="FootnoteReference"/>
          <w:rFonts w:ascii="Times New Roman" w:eastAsia="Times New Roman" w:hAnsi="Times New Roman" w:cs="Times New Roman"/>
          <w:color w:val="0E101A"/>
          <w:sz w:val="24"/>
          <w:szCs w:val="24"/>
          <w:lang w:eastAsia="id-ID"/>
        </w:rPr>
        <w:footnoteReference w:id="30"/>
      </w:r>
      <w:r w:rsidR="000547B9">
        <w:rPr>
          <w:rFonts w:ascii="Times New Roman" w:eastAsia="Times New Roman" w:hAnsi="Times New Roman" w:cs="Times New Roman"/>
          <w:color w:val="0E101A"/>
          <w:sz w:val="24"/>
          <w:szCs w:val="24"/>
          <w:lang w:eastAsia="id-ID"/>
        </w:rPr>
        <w:t>. Yap and Sweeney's studies</w:t>
      </w:r>
      <w:r w:rsidRPr="00706A5E">
        <w:rPr>
          <w:rFonts w:ascii="Times New Roman" w:eastAsia="Times New Roman" w:hAnsi="Times New Roman" w:cs="Times New Roman"/>
          <w:color w:val="0E101A"/>
          <w:sz w:val="24"/>
          <w:szCs w:val="24"/>
          <w:lang w:eastAsia="id-ID"/>
        </w:rPr>
        <w:t>; shows that service quality has a positive impact on the formation of better customer satisfaction and company performance</w:t>
      </w:r>
      <w:r w:rsidR="0024522B">
        <w:rPr>
          <w:rStyle w:val="FootnoteReference"/>
          <w:rFonts w:ascii="Times New Roman" w:eastAsia="Times New Roman" w:hAnsi="Times New Roman" w:cs="Times New Roman"/>
          <w:color w:val="0E101A"/>
          <w:sz w:val="24"/>
          <w:szCs w:val="24"/>
          <w:lang w:eastAsia="id-ID"/>
        </w:rPr>
        <w:footnoteReference w:id="31"/>
      </w:r>
      <w:r w:rsidRPr="00706A5E">
        <w:rPr>
          <w:rFonts w:ascii="Times New Roman" w:eastAsia="Times New Roman" w:hAnsi="Times New Roman" w:cs="Times New Roman"/>
          <w:color w:val="0E101A"/>
          <w:sz w:val="24"/>
          <w:szCs w:val="24"/>
          <w:lang w:eastAsia="id-ID"/>
        </w:rPr>
        <w:t>. Tseng Studies; emphasizing the existence of service quality as an effective strategy in determining the inc</w:t>
      </w:r>
      <w:r w:rsidR="000F73C2">
        <w:rPr>
          <w:rFonts w:ascii="Times New Roman" w:eastAsia="Times New Roman" w:hAnsi="Times New Roman" w:cs="Times New Roman"/>
          <w:color w:val="0E101A"/>
          <w:sz w:val="24"/>
          <w:szCs w:val="24"/>
          <w:lang w:eastAsia="id-ID"/>
        </w:rPr>
        <w:t>rease in customer satisfaction</w:t>
      </w:r>
      <w:r w:rsidR="0024522B">
        <w:rPr>
          <w:rStyle w:val="FootnoteReference"/>
          <w:rFonts w:ascii="Times New Roman" w:eastAsia="Times New Roman" w:hAnsi="Times New Roman" w:cs="Times New Roman"/>
          <w:color w:val="0E101A"/>
          <w:sz w:val="24"/>
          <w:szCs w:val="24"/>
          <w:lang w:eastAsia="id-ID"/>
        </w:rPr>
        <w:footnoteReference w:id="32"/>
      </w:r>
      <w:r w:rsidR="000F73C2">
        <w:rPr>
          <w:rFonts w:ascii="Times New Roman" w:eastAsia="Times New Roman" w:hAnsi="Times New Roman" w:cs="Times New Roman"/>
          <w:color w:val="0E101A"/>
          <w:sz w:val="24"/>
          <w:szCs w:val="24"/>
          <w:lang w:eastAsia="id-ID"/>
        </w:rPr>
        <w:t xml:space="preserve">. </w:t>
      </w:r>
      <w:r w:rsidRPr="00706A5E">
        <w:rPr>
          <w:rFonts w:ascii="Times New Roman" w:eastAsia="Times New Roman" w:hAnsi="Times New Roman" w:cs="Times New Roman"/>
          <w:color w:val="0E101A"/>
          <w:sz w:val="24"/>
          <w:szCs w:val="24"/>
          <w:lang w:eastAsia="id-ID"/>
        </w:rPr>
        <w:t xml:space="preserve">Dash et al., Concluded that the quality of </w:t>
      </w:r>
      <w:r w:rsidRPr="00706A5E">
        <w:rPr>
          <w:rFonts w:ascii="Times New Roman" w:eastAsia="Times New Roman" w:hAnsi="Times New Roman" w:cs="Times New Roman"/>
          <w:color w:val="0E101A"/>
          <w:sz w:val="24"/>
          <w:szCs w:val="24"/>
          <w:lang w:eastAsia="id-ID"/>
        </w:rPr>
        <w:lastRenderedPageBreak/>
        <w:t>service at a bank, both from the functional side and the technical side, has a positive impact on better relationship quality</w:t>
      </w:r>
      <w:r w:rsidR="0024522B">
        <w:rPr>
          <w:rStyle w:val="FootnoteReference"/>
          <w:rFonts w:ascii="Times New Roman" w:eastAsia="Times New Roman" w:hAnsi="Times New Roman" w:cs="Times New Roman"/>
          <w:color w:val="0E101A"/>
          <w:sz w:val="24"/>
          <w:szCs w:val="24"/>
          <w:lang w:eastAsia="id-ID"/>
        </w:rPr>
        <w:footnoteReference w:id="33"/>
      </w:r>
      <w:r w:rsidRPr="00706A5E">
        <w:rPr>
          <w:rFonts w:ascii="Times New Roman" w:eastAsia="Times New Roman" w:hAnsi="Times New Roman" w:cs="Times New Roman"/>
          <w:color w:val="0E101A"/>
          <w:sz w:val="24"/>
          <w:szCs w:val="24"/>
          <w:lang w:eastAsia="id-ID"/>
        </w:rPr>
        <w:t>.</w:t>
      </w:r>
    </w:p>
    <w:p w:rsidR="000F73C2" w:rsidRDefault="00C13E17" w:rsidP="000F73C2">
      <w:pPr>
        <w:spacing w:after="120" w:line="360" w:lineRule="auto"/>
        <w:jc w:val="both"/>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b/>
          <w:bCs/>
          <w:color w:val="000000"/>
          <w:sz w:val="24"/>
          <w:szCs w:val="24"/>
          <w:lang w:eastAsia="id-ID"/>
        </w:rPr>
        <w:t>Service Quality</w:t>
      </w:r>
    </w:p>
    <w:p w:rsidR="000F73C2" w:rsidRDefault="000F73C2" w:rsidP="000F73C2">
      <w:pPr>
        <w:spacing w:after="120" w:line="360" w:lineRule="auto"/>
        <w:ind w:firstLine="720"/>
        <w:jc w:val="both"/>
        <w:rPr>
          <w:rFonts w:ascii="Times New Roman" w:eastAsia="Times New Roman" w:hAnsi="Times New Roman" w:cs="Times New Roman"/>
          <w:color w:val="000000"/>
          <w:sz w:val="24"/>
          <w:szCs w:val="24"/>
          <w:lang w:eastAsia="id-ID"/>
        </w:rPr>
      </w:pPr>
      <w:r w:rsidRPr="000F73C2">
        <w:rPr>
          <w:rFonts w:ascii="Times New Roman" w:eastAsia="Times New Roman" w:hAnsi="Times New Roman" w:cs="Times New Roman"/>
          <w:color w:val="0E101A"/>
          <w:sz w:val="24"/>
          <w:szCs w:val="24"/>
          <w:lang w:eastAsia="id-ID"/>
        </w:rPr>
        <w:t>Each company will certainly continue to strive to improve its performance to achieve high-quality standards to retain its customers. Because no one who wants to get service may have expectations about the level of service they want. Quality according to Goetsh and Davis that quality is a dynamic condition related to products, services, people, processes, and the environment that meet or exceed expectations</w:t>
      </w:r>
      <w:r w:rsidR="0024522B">
        <w:rPr>
          <w:rStyle w:val="FootnoteReference"/>
          <w:rFonts w:ascii="Times New Roman" w:eastAsia="Times New Roman" w:hAnsi="Times New Roman" w:cs="Times New Roman"/>
          <w:color w:val="0E101A"/>
          <w:sz w:val="24"/>
          <w:szCs w:val="24"/>
          <w:lang w:eastAsia="id-ID"/>
        </w:rPr>
        <w:footnoteReference w:id="34"/>
      </w:r>
      <w:r w:rsidRPr="000F73C2">
        <w:rPr>
          <w:rFonts w:ascii="Times New Roman" w:eastAsia="Times New Roman" w:hAnsi="Times New Roman" w:cs="Times New Roman"/>
          <w:color w:val="0E101A"/>
          <w:sz w:val="24"/>
          <w:szCs w:val="24"/>
          <w:lang w:eastAsia="id-ID"/>
        </w:rPr>
        <w:t>. Tjiptono and Chandra added that the concept of quality is often seen as a relative measure of the perfection or goodness of a product or service, which consists of design quality and conformity quality. The design quality is a specific function of the product, while conformity quality is a measure of how much the level of conformity between a product or service and the pre-determined quality requirements or specifications</w:t>
      </w:r>
      <w:r w:rsidR="0024522B">
        <w:rPr>
          <w:rStyle w:val="FootnoteReference"/>
          <w:rFonts w:ascii="Times New Roman" w:eastAsia="Times New Roman" w:hAnsi="Times New Roman" w:cs="Times New Roman"/>
          <w:color w:val="0E101A"/>
          <w:sz w:val="24"/>
          <w:szCs w:val="24"/>
          <w:lang w:eastAsia="id-ID"/>
        </w:rPr>
        <w:footnoteReference w:id="35"/>
      </w:r>
      <w:r w:rsidRPr="000F73C2">
        <w:rPr>
          <w:rFonts w:ascii="Times New Roman" w:eastAsia="Times New Roman" w:hAnsi="Times New Roman" w:cs="Times New Roman"/>
          <w:color w:val="0E101A"/>
          <w:sz w:val="24"/>
          <w:szCs w:val="24"/>
          <w:lang w:eastAsia="id-ID"/>
        </w:rPr>
        <w:t>.</w:t>
      </w:r>
    </w:p>
    <w:p w:rsidR="000F73C2" w:rsidRPr="000F73C2" w:rsidRDefault="000F73C2" w:rsidP="000F73C2">
      <w:pPr>
        <w:spacing w:after="120" w:line="360" w:lineRule="auto"/>
        <w:ind w:firstLine="720"/>
        <w:jc w:val="both"/>
        <w:rPr>
          <w:rFonts w:ascii="Times New Roman" w:eastAsia="Times New Roman" w:hAnsi="Times New Roman" w:cs="Times New Roman"/>
          <w:color w:val="000000"/>
          <w:sz w:val="24"/>
          <w:szCs w:val="24"/>
          <w:lang w:eastAsia="id-ID"/>
        </w:rPr>
      </w:pPr>
      <w:r w:rsidRPr="000F73C2">
        <w:rPr>
          <w:rFonts w:ascii="Times New Roman" w:eastAsia="Times New Roman" w:hAnsi="Times New Roman" w:cs="Times New Roman"/>
          <w:color w:val="0E101A"/>
          <w:sz w:val="24"/>
          <w:szCs w:val="24"/>
          <w:lang w:eastAsia="id-ID"/>
        </w:rPr>
        <w:t>According to the International Standard ISO 8402 defines quality is a description and overall characteristics of goods or services, which indicate its ability to satisfy specified or implied needs</w:t>
      </w:r>
      <w:r w:rsidR="0024522B">
        <w:rPr>
          <w:rStyle w:val="FootnoteReference"/>
          <w:rFonts w:ascii="Times New Roman" w:eastAsia="Times New Roman" w:hAnsi="Times New Roman" w:cs="Times New Roman"/>
          <w:color w:val="0E101A"/>
          <w:sz w:val="24"/>
          <w:szCs w:val="24"/>
          <w:lang w:eastAsia="id-ID"/>
        </w:rPr>
        <w:footnoteReference w:id="36"/>
      </w:r>
      <w:r w:rsidRPr="000F73C2">
        <w:rPr>
          <w:rFonts w:ascii="Times New Roman" w:eastAsia="Times New Roman" w:hAnsi="Times New Roman" w:cs="Times New Roman"/>
          <w:color w:val="0E101A"/>
          <w:sz w:val="24"/>
          <w:szCs w:val="24"/>
          <w:lang w:eastAsia="id-ID"/>
        </w:rPr>
        <w:t>. The purpose of service is to help fulfill the interests of others or the public interest because often meeting needs cannot be done alone but requires help in the form of other people's actions</w:t>
      </w:r>
      <w:r w:rsidR="0024522B">
        <w:rPr>
          <w:rStyle w:val="FootnoteReference"/>
          <w:rFonts w:ascii="Times New Roman" w:eastAsia="Times New Roman" w:hAnsi="Times New Roman" w:cs="Times New Roman"/>
          <w:color w:val="0E101A"/>
          <w:sz w:val="24"/>
          <w:szCs w:val="24"/>
          <w:lang w:eastAsia="id-ID"/>
        </w:rPr>
        <w:footnoteReference w:id="37"/>
      </w:r>
      <w:r w:rsidRPr="000F73C2">
        <w:rPr>
          <w:rFonts w:ascii="Times New Roman" w:eastAsia="Times New Roman" w:hAnsi="Times New Roman" w:cs="Times New Roman"/>
          <w:color w:val="0E101A"/>
          <w:sz w:val="24"/>
          <w:szCs w:val="24"/>
          <w:lang w:eastAsia="id-ID"/>
        </w:rPr>
        <w:t>. The functions of the service include:</w:t>
      </w:r>
    </w:p>
    <w:p w:rsidR="000F73C2" w:rsidRPr="000F73C2" w:rsidRDefault="000F73C2" w:rsidP="000F73C2">
      <w:pPr>
        <w:numPr>
          <w:ilvl w:val="0"/>
          <w:numId w:val="10"/>
        </w:numPr>
        <w:spacing w:after="0" w:line="360" w:lineRule="auto"/>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Speed ​​up the work implementation process, to save time.</w:t>
      </w:r>
    </w:p>
    <w:p w:rsidR="000F73C2" w:rsidRPr="000F73C2" w:rsidRDefault="000F73C2" w:rsidP="000F73C2">
      <w:pPr>
        <w:numPr>
          <w:ilvl w:val="0"/>
          <w:numId w:val="10"/>
        </w:numPr>
        <w:spacing w:after="0" w:line="360" w:lineRule="auto"/>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Increase productivity, both goods, and services.</w:t>
      </w:r>
    </w:p>
    <w:p w:rsidR="000F73C2" w:rsidRPr="000F73C2" w:rsidRDefault="000F73C2" w:rsidP="000F73C2">
      <w:pPr>
        <w:numPr>
          <w:ilvl w:val="0"/>
          <w:numId w:val="10"/>
        </w:numPr>
        <w:spacing w:after="0" w:line="360" w:lineRule="auto"/>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Get better or guaranteed product quality.</w:t>
      </w:r>
    </w:p>
    <w:p w:rsidR="000F73C2" w:rsidRPr="000F73C2" w:rsidRDefault="000F73C2" w:rsidP="000F73C2">
      <w:pPr>
        <w:numPr>
          <w:ilvl w:val="0"/>
          <w:numId w:val="10"/>
        </w:numPr>
        <w:spacing w:after="0" w:line="360" w:lineRule="auto"/>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Generating a sense of comfort for those concerned.</w:t>
      </w:r>
    </w:p>
    <w:p w:rsidR="000F73C2" w:rsidRPr="000F73C2" w:rsidRDefault="000F73C2" w:rsidP="000F73C2">
      <w:pPr>
        <w:numPr>
          <w:ilvl w:val="0"/>
          <w:numId w:val="10"/>
        </w:numPr>
        <w:spacing w:after="0" w:line="360" w:lineRule="auto"/>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Generating a feeling of satisfaction in the people concerned so that it can reduce their emotional nature.</w:t>
      </w:r>
      <w:r w:rsidR="0024522B">
        <w:rPr>
          <w:rStyle w:val="FootnoteReference"/>
          <w:rFonts w:ascii="Times New Roman" w:eastAsia="Times New Roman" w:hAnsi="Times New Roman" w:cs="Times New Roman"/>
          <w:color w:val="0E101A"/>
          <w:sz w:val="24"/>
          <w:szCs w:val="24"/>
          <w:lang w:eastAsia="id-ID"/>
        </w:rPr>
        <w:footnoteReference w:id="38"/>
      </w:r>
    </w:p>
    <w:p w:rsidR="000F73C2" w:rsidRPr="000F73C2" w:rsidRDefault="000F73C2" w:rsidP="000F73C2">
      <w:pPr>
        <w:spacing w:after="0" w:line="360" w:lineRule="auto"/>
        <w:ind w:firstLine="720"/>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 xml:space="preserve">In its implementation, service quality requires several dimensions as a measure of the effectiveness and efficiency of the services provided. Therefore, James A. Fitzsimmons and </w:t>
      </w:r>
      <w:r w:rsidRPr="000F73C2">
        <w:rPr>
          <w:rFonts w:ascii="Times New Roman" w:eastAsia="Times New Roman" w:hAnsi="Times New Roman" w:cs="Times New Roman"/>
          <w:color w:val="0E101A"/>
          <w:sz w:val="24"/>
          <w:szCs w:val="24"/>
          <w:lang w:eastAsia="id-ID"/>
        </w:rPr>
        <w:lastRenderedPageBreak/>
        <w:t>Mona J. Fitzmons explained that customers will assess service quality through the five principles of service dimensions as a benchmark: Zeithaml et, al., Also expressed the same opinion that there are five dimensions of service quality,:</w:t>
      </w:r>
    </w:p>
    <w:p w:rsidR="000F73C2" w:rsidRPr="000F73C2" w:rsidRDefault="000F73C2" w:rsidP="000F73C2">
      <w:pPr>
        <w:numPr>
          <w:ilvl w:val="0"/>
          <w:numId w:val="11"/>
        </w:numPr>
        <w:spacing w:after="0" w:line="360" w:lineRule="auto"/>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Physical evidence (tangibles), namely in services such as physical facilities</w:t>
      </w:r>
    </w:p>
    <w:p w:rsidR="000F73C2" w:rsidRPr="000F73C2" w:rsidRDefault="000F73C2" w:rsidP="000F73C2">
      <w:pPr>
        <w:numPr>
          <w:ilvl w:val="0"/>
          <w:numId w:val="11"/>
        </w:numPr>
        <w:spacing w:after="0" w:line="360" w:lineRule="auto"/>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Reliability, namely the company's ability to provide services as promised accurately and reliably. Performance must be following customer expectations which means punctuality, the same service to all customers without error, sympathetic attitude, and with high accuracy.</w:t>
      </w:r>
    </w:p>
    <w:p w:rsidR="000F73C2" w:rsidRPr="000F73C2" w:rsidRDefault="000F73C2" w:rsidP="000F73C2">
      <w:pPr>
        <w:numPr>
          <w:ilvl w:val="0"/>
          <w:numId w:val="11"/>
        </w:numPr>
        <w:spacing w:after="0" w:line="360" w:lineRule="auto"/>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Responsiveness, which is a policy to help and provide fast (responsive) and accurate service to customers, with clear information delivery. Let consumers wait for negative perceptions of service quality.</w:t>
      </w:r>
    </w:p>
    <w:p w:rsidR="000F73C2" w:rsidRPr="000F73C2" w:rsidRDefault="000F73C2" w:rsidP="000F73C2">
      <w:pPr>
        <w:numPr>
          <w:ilvl w:val="0"/>
          <w:numId w:val="11"/>
        </w:numPr>
        <w:spacing w:after="0" w:line="360" w:lineRule="auto"/>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Assurance, the knowledge, ability, and politeness of company employees to foster customers' trust in the company. This includes several components, including communication, credibility, security, competence, and courtesy.</w:t>
      </w:r>
    </w:p>
    <w:p w:rsidR="000F73C2" w:rsidRPr="000F73C2" w:rsidRDefault="0024522B" w:rsidP="000F73C2">
      <w:pPr>
        <w:numPr>
          <w:ilvl w:val="0"/>
          <w:numId w:val="11"/>
        </w:numPr>
        <w:spacing w:after="0" w:line="360" w:lineRule="auto"/>
        <w:jc w:val="both"/>
        <w:rPr>
          <w:rFonts w:ascii="Times New Roman" w:eastAsia="Times New Roman" w:hAnsi="Times New Roman" w:cs="Times New Roman"/>
          <w:color w:val="0E101A"/>
          <w:sz w:val="24"/>
          <w:szCs w:val="24"/>
          <w:lang w:eastAsia="id-ID"/>
        </w:rPr>
      </w:pPr>
      <w:r>
        <w:rPr>
          <w:rFonts w:ascii="Times New Roman" w:eastAsia="Times New Roman" w:hAnsi="Times New Roman" w:cs="Times New Roman"/>
          <w:color w:val="0E101A"/>
          <w:sz w:val="24"/>
          <w:szCs w:val="24"/>
          <w:lang w:eastAsia="id-ID"/>
        </w:rPr>
        <w:t>Empathy</w:t>
      </w:r>
      <w:r w:rsidR="000F73C2" w:rsidRPr="000F73C2">
        <w:rPr>
          <w:rFonts w:ascii="Times New Roman" w:eastAsia="Times New Roman" w:hAnsi="Times New Roman" w:cs="Times New Roman"/>
          <w:color w:val="0E101A"/>
          <w:sz w:val="24"/>
          <w:szCs w:val="24"/>
          <w:lang w:eastAsia="id-ID"/>
        </w:rPr>
        <w:t>, which is giving sincere and individual or personal attention to customers by trying to understand consumer desires. Where a company is expected to have an understanding and knowledge of customers, understand specific customer needs, and have a comfortable operating time from customers</w:t>
      </w:r>
      <w:r>
        <w:rPr>
          <w:rStyle w:val="FootnoteReference"/>
          <w:rFonts w:ascii="Times New Roman" w:eastAsia="Times New Roman" w:hAnsi="Times New Roman" w:cs="Times New Roman"/>
          <w:color w:val="0E101A"/>
          <w:sz w:val="24"/>
          <w:szCs w:val="24"/>
          <w:lang w:eastAsia="id-ID"/>
        </w:rPr>
        <w:footnoteReference w:id="39"/>
      </w:r>
      <w:r w:rsidR="000F73C2" w:rsidRPr="000F73C2">
        <w:rPr>
          <w:rFonts w:ascii="Times New Roman" w:eastAsia="Times New Roman" w:hAnsi="Times New Roman" w:cs="Times New Roman"/>
          <w:color w:val="0E101A"/>
          <w:sz w:val="24"/>
          <w:szCs w:val="24"/>
          <w:lang w:eastAsia="id-ID"/>
        </w:rPr>
        <w:t>.</w:t>
      </w:r>
    </w:p>
    <w:p w:rsidR="000F73C2" w:rsidRDefault="000F73C2" w:rsidP="000F73C2">
      <w:pPr>
        <w:spacing w:after="0" w:line="360" w:lineRule="auto"/>
        <w:ind w:firstLine="720"/>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E101A"/>
          <w:sz w:val="24"/>
          <w:szCs w:val="24"/>
          <w:lang w:eastAsia="id-ID"/>
        </w:rPr>
        <w:t>The company carries out special service or excellent service to customers, whether it is shown to internal customers or external customers, who have an important role in the business. This will affect the sustainability of the company in the future. Service quality can help companies maintain customer loyalty, and affect the company's survival. Excellent service contains three main points, namely the presence of an attitude approach related to customer care, an effort to serve with the best action, and to satisfy customers with an orientation to the standards set by the company. According to Sakantula, to achieve excellent service, companies are required to have skills. These skills include looking good and tidy, being friendly, showing work passion and having an attitude of always being ready to serve, calm at work, not being arrogant because they feel needed, mastering good work-related tasks in part or department or other parts, having the ability good communication, able to understand and understand customer cues, and can professionally recognize customer complaints</w:t>
      </w:r>
      <w:r w:rsidR="0024522B">
        <w:rPr>
          <w:rStyle w:val="FootnoteReference"/>
          <w:rFonts w:ascii="Times New Roman" w:eastAsia="Times New Roman" w:hAnsi="Times New Roman" w:cs="Times New Roman"/>
          <w:color w:val="0E101A"/>
          <w:sz w:val="24"/>
          <w:szCs w:val="24"/>
          <w:lang w:eastAsia="id-ID"/>
        </w:rPr>
        <w:footnoteReference w:id="40"/>
      </w:r>
      <w:r w:rsidRPr="000F73C2">
        <w:rPr>
          <w:rFonts w:ascii="Times New Roman" w:eastAsia="Times New Roman" w:hAnsi="Times New Roman" w:cs="Times New Roman"/>
          <w:color w:val="0E101A"/>
          <w:sz w:val="24"/>
          <w:szCs w:val="24"/>
          <w:lang w:eastAsia="id-ID"/>
        </w:rPr>
        <w:t>.</w:t>
      </w:r>
    </w:p>
    <w:p w:rsidR="000F73C2" w:rsidRDefault="000F73C2" w:rsidP="000F73C2">
      <w:pPr>
        <w:spacing w:after="0" w:line="360" w:lineRule="auto"/>
        <w:ind w:firstLine="720"/>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00000"/>
          <w:sz w:val="24"/>
          <w:szCs w:val="24"/>
          <w:lang w:eastAsia="id-ID"/>
        </w:rPr>
        <w:lastRenderedPageBreak/>
        <w:t>When a company provides excellent service to external customers, it is expected that there will be growth in external customer loyalty to the company, so that from time to time, the company will be able to maintain and increase sales of goods or services, as well as be able to achieve the expected benefits. Providing excellent service to customers is not an easy job. However, if some of the things mentioned above can be done, the company will be able to get great benefits, especially increased customer satisfaction and loyalty.</w:t>
      </w:r>
    </w:p>
    <w:p w:rsidR="000F73C2" w:rsidRDefault="000F73C2" w:rsidP="000F73C2">
      <w:pPr>
        <w:spacing w:after="0" w:line="360" w:lineRule="auto"/>
        <w:ind w:firstLine="720"/>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00000"/>
          <w:sz w:val="24"/>
          <w:szCs w:val="24"/>
          <w:lang w:eastAsia="id-ID"/>
        </w:rPr>
        <w:t>Providing exceptional service is one way for companies to be loved by customers. This involves performance that goes beyond the customer's tolerance zone, by adding value to customers through service beyond what they expect and surprising them with the service provided. Such services cannot create the desired emotional closeness between the customer and the company</w:t>
      </w:r>
      <w:r w:rsidR="0024522B">
        <w:rPr>
          <w:rStyle w:val="FootnoteReference"/>
          <w:rFonts w:ascii="Times New Roman" w:eastAsia="Times New Roman" w:hAnsi="Times New Roman" w:cs="Times New Roman"/>
          <w:color w:val="000000"/>
          <w:sz w:val="24"/>
          <w:szCs w:val="24"/>
          <w:lang w:eastAsia="id-ID"/>
        </w:rPr>
        <w:footnoteReference w:id="41"/>
      </w:r>
      <w:r w:rsidRPr="000F73C2">
        <w:rPr>
          <w:rFonts w:ascii="Times New Roman" w:eastAsia="Times New Roman" w:hAnsi="Times New Roman" w:cs="Times New Roman"/>
          <w:color w:val="000000"/>
          <w:sz w:val="24"/>
          <w:szCs w:val="24"/>
          <w:lang w:eastAsia="id-ID"/>
        </w:rPr>
        <w:t>. If customers continue to receive special service every time they make contact with the company, it will accept this as the norm. For example, customers will know that every time they visit a restaurant, they will be greeted with a smile, their orders will never go wrong, and will be properly served. It is the initial stage of customer trust and commitment.</w:t>
      </w:r>
      <w:r>
        <w:rPr>
          <w:rFonts w:ascii="Times New Roman" w:eastAsia="Times New Roman" w:hAnsi="Times New Roman" w:cs="Times New Roman"/>
          <w:color w:val="0E101A"/>
          <w:sz w:val="24"/>
          <w:szCs w:val="24"/>
          <w:lang w:eastAsia="id-ID"/>
        </w:rPr>
        <w:t xml:space="preserve"> </w:t>
      </w:r>
      <w:r w:rsidRPr="000F73C2">
        <w:rPr>
          <w:rFonts w:ascii="Times New Roman" w:eastAsia="Times New Roman" w:hAnsi="Times New Roman" w:cs="Times New Roman"/>
          <w:color w:val="000000"/>
          <w:sz w:val="24"/>
          <w:szCs w:val="24"/>
          <w:lang w:eastAsia="id-ID"/>
        </w:rPr>
        <w:t>Surprise customers with exceptional service, also play an extraordinary role in strengthening loyalty and stimulating positive word of mouth. They appreciate it when employees do things that make customers comfortable, which is not part of the service they are paying for. Customers believe that they will have a quality experience every time they visit the restaurant and that the restaurant is committed to providing high-quality service. Hoteliers must understand the personal characteristics of each of their guests to serve it. A planned spontaneous approach, leaning more on databases, or at least a detailed memory of a customer's business. The records that are kept, encourage the company to do something at certain moments, that send a message to customers that they are not forgotten and their business is appreciated. For obvious reasons, the more personal contact, the better the results. Customers are more impressed by the fact that they are recognizable. Employees call their names. Sign language is simple, sending the message that the company knows who they are and appreciates them, having been a customer for some time.</w:t>
      </w:r>
    </w:p>
    <w:p w:rsidR="000F73C2" w:rsidRDefault="000F73C2" w:rsidP="000F73C2">
      <w:pPr>
        <w:spacing w:after="0" w:line="360" w:lineRule="auto"/>
        <w:ind w:firstLine="720"/>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00000"/>
          <w:sz w:val="24"/>
          <w:szCs w:val="24"/>
          <w:lang w:eastAsia="id-ID"/>
        </w:rPr>
        <w:t>Customers always feel that spontaneity is the best thing. Customers call these events the little things that make a big difference, making the customer feel welcomed and appreciated. The attention given by the company has a positive effect on customers. They feel that the company cares about and that their business is valued by the company</w:t>
      </w:r>
      <w:r w:rsidR="0024522B">
        <w:rPr>
          <w:rStyle w:val="FootnoteReference"/>
          <w:rFonts w:ascii="Times New Roman" w:eastAsia="Times New Roman" w:hAnsi="Times New Roman" w:cs="Times New Roman"/>
          <w:color w:val="000000"/>
          <w:sz w:val="24"/>
          <w:szCs w:val="24"/>
          <w:lang w:eastAsia="id-ID"/>
        </w:rPr>
        <w:footnoteReference w:id="42"/>
      </w:r>
      <w:r w:rsidRPr="000F73C2">
        <w:rPr>
          <w:rFonts w:ascii="Times New Roman" w:eastAsia="Times New Roman" w:hAnsi="Times New Roman" w:cs="Times New Roman"/>
          <w:color w:val="000000"/>
          <w:sz w:val="24"/>
          <w:szCs w:val="24"/>
          <w:lang w:eastAsia="id-ID"/>
        </w:rPr>
        <w:t>.</w:t>
      </w:r>
    </w:p>
    <w:p w:rsidR="000F73C2" w:rsidRDefault="000F73C2" w:rsidP="000F73C2">
      <w:pPr>
        <w:spacing w:after="0" w:line="360" w:lineRule="auto"/>
        <w:ind w:firstLine="720"/>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00000"/>
          <w:sz w:val="24"/>
          <w:szCs w:val="24"/>
          <w:lang w:eastAsia="id-ID"/>
        </w:rPr>
        <w:lastRenderedPageBreak/>
        <w:t>This will give the result, the customer feels closer emotionally, to the company as a whole, creating a win-win situation for the company and its customers. Customer satisfaction is important for the sustainability and image of the organization. Service is the relationship between the company and the customer, which is integrated into the work assignment. Excellent service can be learned, not inherited from culture. Barnes said that experience is an example of this kind of spontaneous service, which is great for keeping in the mind of the customer and leads to the strengthening of a customer relationship. After the experience, a customer may not even think about the competition and will continue to talk about the experience to people who will listen to it.</w:t>
      </w:r>
    </w:p>
    <w:p w:rsidR="000F73C2" w:rsidRPr="000F73C2" w:rsidRDefault="000F73C2" w:rsidP="000F73C2">
      <w:pPr>
        <w:spacing w:after="0" w:line="360" w:lineRule="auto"/>
        <w:ind w:firstLine="720"/>
        <w:jc w:val="both"/>
        <w:rPr>
          <w:rFonts w:ascii="Times New Roman" w:eastAsia="Times New Roman" w:hAnsi="Times New Roman" w:cs="Times New Roman"/>
          <w:color w:val="0E101A"/>
          <w:sz w:val="24"/>
          <w:szCs w:val="24"/>
          <w:lang w:eastAsia="id-ID"/>
        </w:rPr>
      </w:pPr>
      <w:r w:rsidRPr="000F73C2">
        <w:rPr>
          <w:rFonts w:ascii="Times New Roman" w:eastAsia="Times New Roman" w:hAnsi="Times New Roman" w:cs="Times New Roman"/>
          <w:color w:val="000000"/>
          <w:sz w:val="24"/>
          <w:szCs w:val="24"/>
          <w:lang w:eastAsia="id-ID"/>
        </w:rPr>
        <w:t>Catherine Devrye, an excellent service expert, processes the word service into seven simple strategies that can realize excellent service</w:t>
      </w:r>
      <w:r w:rsidR="0024522B">
        <w:rPr>
          <w:rStyle w:val="FootnoteReference"/>
          <w:rFonts w:ascii="Times New Roman" w:eastAsia="Times New Roman" w:hAnsi="Times New Roman" w:cs="Times New Roman"/>
          <w:color w:val="000000"/>
          <w:sz w:val="24"/>
          <w:szCs w:val="24"/>
          <w:lang w:eastAsia="id-ID"/>
        </w:rPr>
        <w:footnoteReference w:id="43"/>
      </w:r>
      <w:r w:rsidRPr="000F73C2">
        <w:rPr>
          <w:rFonts w:ascii="Times New Roman" w:eastAsia="Times New Roman" w:hAnsi="Times New Roman" w:cs="Times New Roman"/>
          <w:color w:val="000000"/>
          <w:sz w:val="24"/>
          <w:szCs w:val="24"/>
          <w:lang w:eastAsia="id-ID"/>
        </w:rPr>
        <w:t>.</w:t>
      </w:r>
    </w:p>
    <w:p w:rsidR="000F73C2" w:rsidRPr="000F73C2" w:rsidRDefault="000F73C2" w:rsidP="000F73C2">
      <w:pPr>
        <w:pStyle w:val="ListParagraph"/>
        <w:numPr>
          <w:ilvl w:val="0"/>
          <w:numId w:val="12"/>
        </w:numPr>
        <w:spacing w:after="0" w:line="360" w:lineRule="auto"/>
        <w:jc w:val="both"/>
        <w:rPr>
          <w:rFonts w:ascii="Times New Roman" w:eastAsia="Times New Roman" w:hAnsi="Times New Roman" w:cs="Times New Roman"/>
          <w:color w:val="000000"/>
          <w:sz w:val="24"/>
          <w:szCs w:val="24"/>
          <w:lang w:eastAsia="id-ID"/>
        </w:rPr>
      </w:pPr>
      <w:r w:rsidRPr="000F73C2">
        <w:rPr>
          <w:rFonts w:ascii="Times New Roman" w:eastAsia="Times New Roman" w:hAnsi="Times New Roman" w:cs="Times New Roman"/>
          <w:color w:val="000000"/>
          <w:sz w:val="24"/>
          <w:szCs w:val="24"/>
          <w:lang w:eastAsia="id-ID"/>
        </w:rPr>
        <w:t>Self Esteem. That is a service that is carried out starts from an assessment of yourself. The most basic element in the success of ministry is self. If a person places themselves comfortably with whom they work for, then that person can provide good service. A paradigm in which self-esteem is placed in a disadvantageous position means degrading self-dignity. This paradigm must be straightened out, that service is not obedience.</w:t>
      </w:r>
    </w:p>
    <w:p w:rsidR="000F73C2" w:rsidRPr="000F73C2" w:rsidRDefault="000F73C2" w:rsidP="000F73C2">
      <w:pPr>
        <w:pStyle w:val="ListParagraph"/>
        <w:numPr>
          <w:ilvl w:val="0"/>
          <w:numId w:val="12"/>
        </w:numPr>
        <w:spacing w:after="0" w:line="360" w:lineRule="auto"/>
        <w:jc w:val="both"/>
        <w:rPr>
          <w:rFonts w:ascii="Times New Roman" w:eastAsia="Times New Roman" w:hAnsi="Times New Roman" w:cs="Times New Roman"/>
          <w:color w:val="000000"/>
          <w:sz w:val="24"/>
          <w:szCs w:val="24"/>
          <w:lang w:eastAsia="id-ID"/>
        </w:rPr>
      </w:pPr>
      <w:r w:rsidRPr="000F73C2">
        <w:rPr>
          <w:rFonts w:ascii="Times New Roman" w:eastAsia="Times New Roman" w:hAnsi="Times New Roman" w:cs="Times New Roman"/>
          <w:color w:val="000000"/>
          <w:sz w:val="24"/>
          <w:szCs w:val="24"/>
          <w:lang w:eastAsia="id-ID"/>
        </w:rPr>
        <w:t>Exceed Expectations, namely the expectations of service users or customers are key in providing forms of service. Hope will always change. So the hopes that will come, need to be anticipated from the start. A service will be successful if it can provide something that realizes these expectations, not just beyond what is expected.</w:t>
      </w:r>
    </w:p>
    <w:p w:rsidR="000F73C2" w:rsidRPr="000F73C2" w:rsidRDefault="000F73C2" w:rsidP="000F73C2">
      <w:pPr>
        <w:pStyle w:val="ListParagraph"/>
        <w:numPr>
          <w:ilvl w:val="0"/>
          <w:numId w:val="12"/>
        </w:numPr>
        <w:spacing w:after="0" w:line="360" w:lineRule="auto"/>
        <w:jc w:val="both"/>
        <w:rPr>
          <w:rFonts w:ascii="Times New Roman" w:eastAsia="Times New Roman" w:hAnsi="Times New Roman" w:cs="Times New Roman"/>
          <w:color w:val="000000"/>
          <w:sz w:val="24"/>
          <w:szCs w:val="24"/>
          <w:lang w:eastAsia="id-ID"/>
        </w:rPr>
      </w:pPr>
      <w:r w:rsidRPr="000F73C2">
        <w:rPr>
          <w:rFonts w:ascii="Times New Roman" w:eastAsia="Times New Roman" w:hAnsi="Times New Roman" w:cs="Times New Roman"/>
          <w:color w:val="000000"/>
          <w:sz w:val="24"/>
          <w:szCs w:val="24"/>
          <w:lang w:eastAsia="id-ID"/>
        </w:rPr>
        <w:t>Recover, namely service by retrieval armed with correcting mistakes. Service often makes the first impression on a person, and will not be obtained at a second chance. However, there is usually an opportunity to correct mistakes, if there is a desire to identify the problem. Complaints about the services that have been done can create opportunities, not become problems. For that, customer complaints need to be a source of learning to further improve service.</w:t>
      </w:r>
    </w:p>
    <w:p w:rsidR="000F73C2" w:rsidRPr="000F73C2" w:rsidRDefault="000F73C2" w:rsidP="000F73C2">
      <w:pPr>
        <w:pStyle w:val="ListParagraph"/>
        <w:numPr>
          <w:ilvl w:val="0"/>
          <w:numId w:val="12"/>
        </w:numPr>
        <w:spacing w:after="0" w:line="360" w:lineRule="auto"/>
        <w:jc w:val="both"/>
        <w:rPr>
          <w:rFonts w:ascii="Times New Roman" w:eastAsia="Times New Roman" w:hAnsi="Times New Roman" w:cs="Times New Roman"/>
          <w:color w:val="000000"/>
          <w:sz w:val="24"/>
          <w:szCs w:val="24"/>
          <w:lang w:eastAsia="id-ID"/>
        </w:rPr>
      </w:pPr>
      <w:r w:rsidRPr="000F73C2">
        <w:rPr>
          <w:rFonts w:ascii="Times New Roman" w:eastAsia="Times New Roman" w:hAnsi="Times New Roman" w:cs="Times New Roman"/>
          <w:color w:val="000000"/>
          <w:sz w:val="24"/>
          <w:szCs w:val="24"/>
          <w:lang w:eastAsia="id-ID"/>
        </w:rPr>
        <w:t>Vision. Services are not only done today or today, they also need to be planned for the future. The forms of service in the future may not be the same as what is done at this time, so it needs to be thought and planned from now on regarding the vision of the future service.</w:t>
      </w:r>
    </w:p>
    <w:p w:rsidR="000F73C2" w:rsidRPr="000F73C2" w:rsidRDefault="000F73C2" w:rsidP="000F73C2">
      <w:pPr>
        <w:pStyle w:val="ListParagraph"/>
        <w:numPr>
          <w:ilvl w:val="0"/>
          <w:numId w:val="12"/>
        </w:numPr>
        <w:spacing w:after="0" w:line="360" w:lineRule="auto"/>
        <w:jc w:val="both"/>
        <w:rPr>
          <w:rFonts w:ascii="Times New Roman" w:eastAsia="Times New Roman" w:hAnsi="Times New Roman" w:cs="Times New Roman"/>
          <w:color w:val="000000"/>
          <w:sz w:val="24"/>
          <w:szCs w:val="24"/>
          <w:lang w:eastAsia="id-ID"/>
        </w:rPr>
      </w:pPr>
      <w:r w:rsidRPr="000F73C2">
        <w:rPr>
          <w:rFonts w:ascii="Times New Roman" w:eastAsia="Times New Roman" w:hAnsi="Times New Roman" w:cs="Times New Roman"/>
          <w:color w:val="000000"/>
          <w:sz w:val="24"/>
          <w:szCs w:val="24"/>
          <w:lang w:eastAsia="id-ID"/>
        </w:rPr>
        <w:t xml:space="preserve">Improve, namely continuous improvement of quality service delivery is not easy, but essential. A service that is stagnant in nature will not give any meaning, so quality </w:t>
      </w:r>
      <w:r w:rsidRPr="000F73C2">
        <w:rPr>
          <w:rFonts w:ascii="Times New Roman" w:eastAsia="Times New Roman" w:hAnsi="Times New Roman" w:cs="Times New Roman"/>
          <w:color w:val="000000"/>
          <w:sz w:val="24"/>
          <w:szCs w:val="24"/>
          <w:lang w:eastAsia="id-ID"/>
        </w:rPr>
        <w:lastRenderedPageBreak/>
        <w:t>services must be improved continuously following the changing expectations of service users.</w:t>
      </w:r>
    </w:p>
    <w:p w:rsidR="000F73C2" w:rsidRPr="000F73C2" w:rsidRDefault="000F73C2" w:rsidP="000F73C2">
      <w:pPr>
        <w:pStyle w:val="ListParagraph"/>
        <w:numPr>
          <w:ilvl w:val="0"/>
          <w:numId w:val="12"/>
        </w:numPr>
        <w:spacing w:after="0" w:line="360" w:lineRule="auto"/>
        <w:jc w:val="both"/>
        <w:rPr>
          <w:rFonts w:ascii="Times New Roman" w:eastAsia="Times New Roman" w:hAnsi="Times New Roman" w:cs="Times New Roman"/>
          <w:color w:val="000000"/>
          <w:sz w:val="24"/>
          <w:szCs w:val="24"/>
          <w:lang w:eastAsia="id-ID"/>
        </w:rPr>
      </w:pPr>
      <w:r w:rsidRPr="000F73C2">
        <w:rPr>
          <w:rFonts w:ascii="Times New Roman" w:eastAsia="Times New Roman" w:hAnsi="Times New Roman" w:cs="Times New Roman"/>
          <w:color w:val="000000"/>
          <w:sz w:val="24"/>
          <w:szCs w:val="24"/>
          <w:lang w:eastAsia="id-ID"/>
        </w:rPr>
        <w:t>Care. Attention to service users or customers can be done by always keeping in touch with them. By staying in touch, it can increase understanding of customer expectations and demands.</w:t>
      </w:r>
    </w:p>
    <w:p w:rsidR="000F73C2" w:rsidRPr="001E319E" w:rsidRDefault="000F73C2" w:rsidP="000F73C2">
      <w:pPr>
        <w:pStyle w:val="ListParagraph"/>
        <w:numPr>
          <w:ilvl w:val="0"/>
          <w:numId w:val="12"/>
        </w:numPr>
        <w:spacing w:after="0" w:line="360" w:lineRule="auto"/>
        <w:jc w:val="both"/>
        <w:rPr>
          <w:rFonts w:ascii="Times New Roman" w:eastAsia="Times New Roman" w:hAnsi="Times New Roman" w:cs="Times New Roman"/>
          <w:color w:val="000000"/>
          <w:sz w:val="24"/>
          <w:szCs w:val="24"/>
          <w:lang w:eastAsia="id-ID"/>
        </w:rPr>
      </w:pPr>
      <w:r w:rsidRPr="000F73C2">
        <w:rPr>
          <w:rFonts w:ascii="Times New Roman" w:eastAsia="Times New Roman" w:hAnsi="Times New Roman" w:cs="Times New Roman"/>
          <w:color w:val="000000"/>
          <w:sz w:val="24"/>
          <w:szCs w:val="24"/>
          <w:lang w:eastAsia="id-ID"/>
        </w:rPr>
        <w:t>Empower. This empowerment is carried out within the scope of the organization. In providing services, organizations provide delegations to perform services to users. This is of course with an order, signs, and even through service management training for all employees and company management. Good service can be done by individuals, who have good self-assessments. A person who can give good judgment on himself, will feel comfortable in any condition and working with anyone. This feeling of comfort makes the individual able to do well in each job and can fulfill his obligations and responsibilities towards the job. Employees who have high self-esteem will be able to provide the best service to customers.</w:t>
      </w:r>
    </w:p>
    <w:p w:rsidR="00C13E17" w:rsidRPr="006C6FA0" w:rsidRDefault="00C13E17" w:rsidP="000F73C2">
      <w:pPr>
        <w:spacing w:after="0" w:line="360" w:lineRule="auto"/>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b/>
          <w:bCs/>
          <w:color w:val="000000"/>
          <w:sz w:val="24"/>
          <w:szCs w:val="24"/>
          <w:lang w:eastAsia="id-ID"/>
        </w:rPr>
        <w:t>Sharia pawnshops</w:t>
      </w:r>
    </w:p>
    <w:p w:rsidR="00C13E17" w:rsidRPr="006C6FA0" w:rsidRDefault="00C13E17" w:rsidP="00B3717A">
      <w:pPr>
        <w:spacing w:after="0" w:line="360" w:lineRule="auto"/>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b/>
          <w:bCs/>
          <w:color w:val="000000"/>
          <w:sz w:val="24"/>
          <w:szCs w:val="24"/>
          <w:lang w:eastAsia="id-ID"/>
        </w:rPr>
        <w:t>Definition of Sharia Pawnshop</w:t>
      </w:r>
    </w:p>
    <w:p w:rsidR="00BA4746" w:rsidRDefault="00C13E17" w:rsidP="00BA4746">
      <w:pPr>
        <w:pStyle w:val="NormalWeb"/>
        <w:spacing w:before="0" w:beforeAutospacing="0" w:after="0" w:afterAutospacing="0" w:line="360" w:lineRule="auto"/>
        <w:jc w:val="both"/>
        <w:rPr>
          <w:color w:val="0E101A"/>
        </w:rPr>
      </w:pPr>
      <w:r w:rsidRPr="006C6FA0">
        <w:rPr>
          <w:color w:val="000000"/>
        </w:rPr>
        <w:t>              </w:t>
      </w:r>
      <w:r w:rsidR="00BA4746">
        <w:rPr>
          <w:color w:val="0E101A"/>
        </w:rPr>
        <w:t>Sharia pawnshops are financial institutions that adhere to a pawn system based on Islamic principles and values</w:t>
      </w:r>
      <w:r w:rsidR="0024522B">
        <w:rPr>
          <w:rStyle w:val="FootnoteReference"/>
          <w:color w:val="0E101A"/>
        </w:rPr>
        <w:footnoteReference w:id="44"/>
      </w:r>
      <w:r w:rsidR="00BA4746">
        <w:rPr>
          <w:color w:val="0E101A"/>
        </w:rPr>
        <w:t>. Pegadaian Public Company, hereinafter referred to in Government Regulation as Company is a State-Owned Enterprise as regulated in Law Number 9 of 1969, whose line of business is within the scope of duties and authorities of the Minister of Finance, where all capital is owned by the State in the form of separated State assets and not divided into shares</w:t>
      </w:r>
      <w:r w:rsidR="0024522B">
        <w:rPr>
          <w:rStyle w:val="FootnoteReference"/>
          <w:color w:val="0E101A"/>
        </w:rPr>
        <w:footnoteReference w:id="45"/>
      </w:r>
      <w:r w:rsidR="00BA4746">
        <w:rPr>
          <w:color w:val="0E101A"/>
        </w:rPr>
        <w:t>. A sharia pawnshop business is all business related to providing loans with collateral for movable goods, deposit services, estimation services, or other services that are carried out based on sharia principles. What is meant by Sharia Principles here are provisions of Islamic law based on fatwas or sharia conformity statements from the National Shar</w:t>
      </w:r>
      <w:r w:rsidR="0024522B">
        <w:rPr>
          <w:color w:val="0E101A"/>
        </w:rPr>
        <w:t>ia Council of the Indonesian Ula</w:t>
      </w:r>
      <w:r w:rsidR="00BA4746">
        <w:rPr>
          <w:color w:val="0E101A"/>
        </w:rPr>
        <w:t>ma Counci</w:t>
      </w:r>
      <w:r w:rsidR="0024522B">
        <w:rPr>
          <w:rStyle w:val="FootnoteReference"/>
          <w:color w:val="0E101A"/>
        </w:rPr>
        <w:footnoteReference w:id="46"/>
      </w:r>
      <w:r w:rsidR="00BA4746">
        <w:rPr>
          <w:color w:val="0E101A"/>
        </w:rPr>
        <w:t>l</w:t>
      </w:r>
    </w:p>
    <w:p w:rsidR="00BA4746" w:rsidRDefault="00BA4746" w:rsidP="00BA4746">
      <w:pPr>
        <w:pStyle w:val="NormalWeb"/>
        <w:spacing w:before="0" w:beforeAutospacing="0" w:after="0" w:afterAutospacing="0" w:line="360" w:lineRule="auto"/>
        <w:jc w:val="both"/>
        <w:rPr>
          <w:color w:val="0E101A"/>
        </w:rPr>
      </w:pPr>
      <w:r>
        <w:rPr>
          <w:color w:val="0E101A"/>
        </w:rPr>
        <w:t>In general, the technicalities of Islamic financial institutions are</w:t>
      </w:r>
      <w:r w:rsidR="0024522B">
        <w:rPr>
          <w:rStyle w:val="FootnoteReference"/>
          <w:color w:val="0E101A"/>
        </w:rPr>
        <w:footnoteReference w:id="47"/>
      </w:r>
      <w:r>
        <w:rPr>
          <w:color w:val="0E101A"/>
        </w:rPr>
        <w:t>:</w:t>
      </w:r>
    </w:p>
    <w:p w:rsidR="00BA4746" w:rsidRDefault="00BA4746" w:rsidP="00BA4746">
      <w:pPr>
        <w:pStyle w:val="NormalWeb"/>
        <w:numPr>
          <w:ilvl w:val="0"/>
          <w:numId w:val="14"/>
        </w:numPr>
        <w:spacing w:before="0" w:beforeAutospacing="0" w:after="0" w:afterAutospacing="0" w:line="360" w:lineRule="auto"/>
        <w:jc w:val="both"/>
        <w:rPr>
          <w:color w:val="0E101A"/>
        </w:rPr>
      </w:pPr>
      <w:r>
        <w:rPr>
          <w:color w:val="0E101A"/>
        </w:rPr>
        <w:t>Contract and legality aspects.     </w:t>
      </w:r>
    </w:p>
    <w:p w:rsidR="00BA4746" w:rsidRDefault="00BA4746" w:rsidP="00BA4746">
      <w:pPr>
        <w:pStyle w:val="NormalWeb"/>
        <w:numPr>
          <w:ilvl w:val="0"/>
          <w:numId w:val="14"/>
        </w:numPr>
        <w:spacing w:before="0" w:beforeAutospacing="0" w:after="0" w:afterAutospacing="0" w:line="360" w:lineRule="auto"/>
        <w:jc w:val="both"/>
        <w:rPr>
          <w:color w:val="0E101A"/>
        </w:rPr>
      </w:pPr>
      <w:r>
        <w:rPr>
          <w:color w:val="0E101A"/>
        </w:rPr>
        <w:t>The contract that is carried out consequences because the contract is carried out based on Islamic law. According to Masudul Alam Choudhory</w:t>
      </w:r>
      <w:r w:rsidR="0024522B">
        <w:rPr>
          <w:rStyle w:val="FootnoteReference"/>
          <w:color w:val="0E101A"/>
        </w:rPr>
        <w:footnoteReference w:id="48"/>
      </w:r>
      <w:r>
        <w:rPr>
          <w:color w:val="0E101A"/>
        </w:rPr>
        <w:t xml:space="preserve">. Transactions and business in the </w:t>
      </w:r>
      <w:r>
        <w:rPr>
          <w:color w:val="0E101A"/>
        </w:rPr>
        <w:lastRenderedPageBreak/>
        <w:t>contract must refer to the concepts of </w:t>
      </w:r>
      <w:r>
        <w:rPr>
          <w:rStyle w:val="Emphasis"/>
          <w:color w:val="0E101A"/>
        </w:rPr>
        <w:t>muamalah fiqh </w:t>
      </w:r>
      <w:r>
        <w:rPr>
          <w:color w:val="0E101A"/>
        </w:rPr>
        <w:t>which have been </w:t>
      </w:r>
      <w:r>
        <w:rPr>
          <w:rStyle w:val="Emphasis"/>
          <w:color w:val="0E101A"/>
        </w:rPr>
        <w:t>converged </w:t>
      </w:r>
      <w:r>
        <w:rPr>
          <w:color w:val="0E101A"/>
        </w:rPr>
        <w:t>with modern economic and financial systems without leaving sharia law.</w:t>
      </w:r>
    </w:p>
    <w:p w:rsidR="00BA4746" w:rsidRDefault="00BA4746" w:rsidP="00BA4746">
      <w:pPr>
        <w:pStyle w:val="NormalWeb"/>
        <w:numPr>
          <w:ilvl w:val="0"/>
          <w:numId w:val="14"/>
        </w:numPr>
        <w:spacing w:before="0" w:beforeAutospacing="0" w:after="0" w:afterAutospacing="0" w:line="360" w:lineRule="auto"/>
        <w:jc w:val="both"/>
        <w:rPr>
          <w:color w:val="0E101A"/>
        </w:rPr>
      </w:pPr>
      <w:r>
        <w:rPr>
          <w:color w:val="0E101A"/>
        </w:rPr>
        <w:t>Organizational structure.     </w:t>
      </w:r>
    </w:p>
    <w:p w:rsidR="00BA4746" w:rsidRDefault="00BA4746" w:rsidP="00BA4746">
      <w:pPr>
        <w:pStyle w:val="NormalWeb"/>
        <w:numPr>
          <w:ilvl w:val="0"/>
          <w:numId w:val="14"/>
        </w:numPr>
        <w:spacing w:before="0" w:beforeAutospacing="0" w:after="0" w:afterAutospacing="0" w:line="360" w:lineRule="auto"/>
        <w:jc w:val="both"/>
        <w:rPr>
          <w:color w:val="0E101A"/>
        </w:rPr>
      </w:pPr>
      <w:r>
        <w:rPr>
          <w:color w:val="0E101A"/>
        </w:rPr>
        <w:t>Islamic financial institutions can have the same structure as conventional financial institutions, for example in terms of commissioners and directors, and other parts, but the element that distinguishes Islamic financial institutions from conventional financial institutions is the requirement for a sharia supervisory board to oversee bank operations. and its products to conform to sharia lines.</w:t>
      </w:r>
    </w:p>
    <w:p w:rsidR="00BA4746" w:rsidRDefault="00BA4746" w:rsidP="00BA4746">
      <w:pPr>
        <w:pStyle w:val="NormalWeb"/>
        <w:numPr>
          <w:ilvl w:val="0"/>
          <w:numId w:val="14"/>
        </w:numPr>
        <w:spacing w:before="0" w:beforeAutospacing="0" w:after="0" w:afterAutospacing="0" w:line="360" w:lineRule="auto"/>
        <w:jc w:val="both"/>
        <w:rPr>
          <w:color w:val="0E101A"/>
        </w:rPr>
      </w:pPr>
      <w:r>
        <w:rPr>
          <w:color w:val="0E101A"/>
        </w:rPr>
        <w:t>Business and venture financing     </w:t>
      </w:r>
    </w:p>
    <w:p w:rsidR="00BA4746" w:rsidRDefault="00BA4746" w:rsidP="00BA4746">
      <w:pPr>
        <w:pStyle w:val="NormalWeb"/>
        <w:numPr>
          <w:ilvl w:val="0"/>
          <w:numId w:val="14"/>
        </w:numPr>
        <w:spacing w:before="0" w:beforeAutospacing="0" w:after="0" w:afterAutospacing="0" w:line="360" w:lineRule="auto"/>
        <w:jc w:val="both"/>
        <w:rPr>
          <w:color w:val="0E101A"/>
        </w:rPr>
      </w:pPr>
      <w:r>
        <w:rPr>
          <w:color w:val="0E101A"/>
        </w:rPr>
        <w:t>In Islamic financial institutions, the businesses and businesses that are carried out cannot be separated from the Islamic filter. Islamic financial institutions will not be possible to finance business that is contained in things that are forbidden, and contrary to Islamic values.</w:t>
      </w:r>
    </w:p>
    <w:p w:rsidR="00BA4746" w:rsidRDefault="00BA4746" w:rsidP="00BA4746">
      <w:pPr>
        <w:pStyle w:val="NormalWeb"/>
        <w:numPr>
          <w:ilvl w:val="0"/>
          <w:numId w:val="14"/>
        </w:numPr>
        <w:spacing w:before="0" w:beforeAutospacing="0" w:after="0" w:afterAutospacing="0" w:line="360" w:lineRule="auto"/>
        <w:jc w:val="both"/>
        <w:rPr>
          <w:color w:val="0E101A"/>
        </w:rPr>
      </w:pPr>
      <w:r>
        <w:rPr>
          <w:color w:val="0E101A"/>
        </w:rPr>
        <w:t>Work environment and </w:t>
      </w:r>
      <w:r>
        <w:rPr>
          <w:rStyle w:val="Emphasis"/>
          <w:color w:val="0E101A"/>
        </w:rPr>
        <w:t>Corporate Culture</w:t>
      </w:r>
      <w:r>
        <w:rPr>
          <w:color w:val="0E101A"/>
        </w:rPr>
        <w:t>.     </w:t>
      </w:r>
    </w:p>
    <w:p w:rsidR="00EC600A" w:rsidRPr="0024522B" w:rsidRDefault="00BA4746" w:rsidP="00EC600A">
      <w:pPr>
        <w:pStyle w:val="NormalWeb"/>
        <w:numPr>
          <w:ilvl w:val="0"/>
          <w:numId w:val="14"/>
        </w:numPr>
        <w:spacing w:before="0" w:beforeAutospacing="0" w:after="0" w:afterAutospacing="0" w:line="360" w:lineRule="auto"/>
        <w:jc w:val="both"/>
        <w:rPr>
          <w:color w:val="0E101A"/>
        </w:rPr>
      </w:pPr>
      <w:r>
        <w:rPr>
          <w:color w:val="0E101A"/>
        </w:rPr>
        <w:t>Islamic financial institutions should have a work environment that is in line with sharia. In terms of ethics, for example, the nature of mandate must underlie every employee so that the integrity of a good Muslim executive is reflected.</w:t>
      </w:r>
    </w:p>
    <w:p w:rsidR="00BA4746" w:rsidRDefault="00BA4746" w:rsidP="00EC600A">
      <w:pPr>
        <w:pStyle w:val="NormalWeb"/>
        <w:spacing w:before="0" w:beforeAutospacing="0" w:after="0" w:afterAutospacing="0" w:line="360" w:lineRule="auto"/>
        <w:jc w:val="both"/>
        <w:rPr>
          <w:color w:val="0E101A"/>
        </w:rPr>
      </w:pPr>
      <w:r>
        <w:rPr>
          <w:color w:val="0E101A"/>
        </w:rPr>
        <w:t>Specifically, sharia pawnshops are technically</w:t>
      </w:r>
      <w:r w:rsidR="0024522B">
        <w:rPr>
          <w:rStyle w:val="FootnoteReference"/>
          <w:color w:val="0E101A"/>
        </w:rPr>
        <w:footnoteReference w:id="49"/>
      </w:r>
      <w:r>
        <w:rPr>
          <w:color w:val="0E101A"/>
        </w:rPr>
        <w:t>:</w:t>
      </w:r>
    </w:p>
    <w:p w:rsidR="00BA4746" w:rsidRDefault="00BA4746" w:rsidP="00EC600A">
      <w:pPr>
        <w:pStyle w:val="NormalWeb"/>
        <w:numPr>
          <w:ilvl w:val="0"/>
          <w:numId w:val="15"/>
        </w:numPr>
        <w:spacing w:before="0" w:beforeAutospacing="0" w:after="0" w:afterAutospacing="0" w:line="360" w:lineRule="auto"/>
        <w:jc w:val="both"/>
        <w:rPr>
          <w:color w:val="0E101A"/>
        </w:rPr>
      </w:pPr>
      <w:r>
        <w:rPr>
          <w:color w:val="0E101A"/>
        </w:rPr>
        <w:t>What is profitable about this Sharia Pawnshop is that the calculation is not based on interest, but on rent. For example Ijaroh: wages or rent. The pawn process is the same. The calculation of rent per 10 days, but what is different is the </w:t>
      </w:r>
      <w:r>
        <w:rPr>
          <w:rStyle w:val="Emphasis"/>
          <w:color w:val="0E101A"/>
        </w:rPr>
        <w:t>contract </w:t>
      </w:r>
      <w:r>
        <w:rPr>
          <w:color w:val="0E101A"/>
        </w:rPr>
        <w:t>(agreement) based on the estimated price of the goods, and not based on borrowed money.     </w:t>
      </w:r>
    </w:p>
    <w:p w:rsidR="00BA4746" w:rsidRDefault="00BA4746" w:rsidP="00EC600A">
      <w:pPr>
        <w:pStyle w:val="NormalWeb"/>
        <w:numPr>
          <w:ilvl w:val="0"/>
          <w:numId w:val="15"/>
        </w:numPr>
        <w:spacing w:before="0" w:beforeAutospacing="0" w:after="0" w:afterAutospacing="0" w:line="360" w:lineRule="auto"/>
        <w:jc w:val="both"/>
        <w:rPr>
          <w:color w:val="0E101A"/>
        </w:rPr>
      </w:pPr>
      <w:r>
        <w:rPr>
          <w:color w:val="0E101A"/>
        </w:rPr>
        <w:t>The estimated item can be seen in the class of goods. The assessment of goods groups usually starts from Group A to Group H.     </w:t>
      </w:r>
    </w:p>
    <w:p w:rsidR="00BA4746" w:rsidRDefault="00BA4746" w:rsidP="00EC600A">
      <w:pPr>
        <w:pStyle w:val="NormalWeb"/>
        <w:numPr>
          <w:ilvl w:val="0"/>
          <w:numId w:val="15"/>
        </w:numPr>
        <w:spacing w:before="0" w:beforeAutospacing="0" w:after="0" w:afterAutospacing="0" w:line="360" w:lineRule="auto"/>
        <w:jc w:val="both"/>
        <w:rPr>
          <w:color w:val="0E101A"/>
        </w:rPr>
      </w:pPr>
      <w:r>
        <w:rPr>
          <w:color w:val="0E101A"/>
        </w:rPr>
        <w:t xml:space="preserve">Sharia pawnshops are for all groups. Everyone can make transactions at Sharia Pawnshops. Besides, there will also be a precious metal selling program. The precious metal in question is in the form of gold bullion. For this gold bullion, the credit system can be paid in installments. The procurement of 15 gold bars is established, thanks to the collaboration </w:t>
      </w:r>
      <w:r w:rsidR="00EC600A">
        <w:rPr>
          <w:color w:val="0E101A"/>
        </w:rPr>
        <w:t>between Pegadaian and PT. Antam.</w:t>
      </w:r>
      <w:r>
        <w:rPr>
          <w:color w:val="0E101A"/>
        </w:rPr>
        <w:t xml:space="preserve">  </w:t>
      </w:r>
    </w:p>
    <w:p w:rsidR="00BA4746" w:rsidRDefault="00BA4746" w:rsidP="00BA4746">
      <w:pPr>
        <w:pStyle w:val="NormalWeb"/>
        <w:spacing w:before="0" w:beforeAutospacing="0" w:after="0" w:afterAutospacing="0" w:line="360" w:lineRule="auto"/>
        <w:jc w:val="both"/>
        <w:rPr>
          <w:color w:val="0E101A"/>
        </w:rPr>
      </w:pPr>
      <w:r>
        <w:rPr>
          <w:rStyle w:val="Strong"/>
          <w:color w:val="0E101A"/>
        </w:rPr>
        <w:t>Advantages of Sharia Pawnshops</w:t>
      </w:r>
    </w:p>
    <w:p w:rsidR="00BA4746" w:rsidRDefault="00EC600A" w:rsidP="00EC600A">
      <w:pPr>
        <w:pStyle w:val="NormalWeb"/>
        <w:spacing w:before="0" w:beforeAutospacing="0" w:after="0" w:afterAutospacing="0" w:line="360" w:lineRule="auto"/>
        <w:ind w:firstLine="720"/>
        <w:jc w:val="both"/>
        <w:rPr>
          <w:color w:val="0E101A"/>
        </w:rPr>
      </w:pPr>
      <w:r>
        <w:rPr>
          <w:color w:val="0E101A"/>
        </w:rPr>
        <w:t xml:space="preserve"> Loan </w:t>
      </w:r>
      <w:r w:rsidR="00BA4746">
        <w:rPr>
          <w:color w:val="0E101A"/>
        </w:rPr>
        <w:t xml:space="preserve">Financing from Sharia </w:t>
      </w:r>
      <w:r>
        <w:rPr>
          <w:color w:val="0E101A"/>
        </w:rPr>
        <w:t>Pawnshop</w:t>
      </w:r>
      <w:r w:rsidR="00BA4746">
        <w:rPr>
          <w:color w:val="0E101A"/>
        </w:rPr>
        <w:t xml:space="preserve"> is the right solution for fast funding needs that are following sharia. Fast process, safe storage. The guarantee is jewelry, electronic </w:t>
      </w:r>
      <w:r w:rsidR="00BA4746">
        <w:rPr>
          <w:color w:val="0E101A"/>
        </w:rPr>
        <w:lastRenderedPageBreak/>
        <w:t>goods, or motorized vehicles. Fifteen minutes of funds were disbursed, other advantages include</w:t>
      </w:r>
      <w:r w:rsidR="0024522B">
        <w:rPr>
          <w:rStyle w:val="FootnoteReference"/>
          <w:color w:val="0E101A"/>
        </w:rPr>
        <w:footnoteReference w:id="50"/>
      </w:r>
      <w:r w:rsidR="00BA4746">
        <w:rPr>
          <w:color w:val="0E101A"/>
        </w:rPr>
        <w:t>:</w:t>
      </w:r>
    </w:p>
    <w:p w:rsidR="00BA4746" w:rsidRDefault="00EC600A" w:rsidP="00EC600A">
      <w:pPr>
        <w:pStyle w:val="NormalWeb"/>
        <w:numPr>
          <w:ilvl w:val="0"/>
          <w:numId w:val="16"/>
        </w:numPr>
        <w:spacing w:before="0" w:beforeAutospacing="0" w:after="0" w:afterAutospacing="0" w:line="360" w:lineRule="auto"/>
        <w:jc w:val="both"/>
        <w:rPr>
          <w:color w:val="0E101A"/>
        </w:rPr>
      </w:pPr>
      <w:r>
        <w:rPr>
          <w:color w:val="0E101A"/>
        </w:rPr>
        <w:t>The</w:t>
      </w:r>
      <w:r w:rsidR="00BA4746">
        <w:rPr>
          <w:color w:val="0E101A"/>
        </w:rPr>
        <w:t xml:space="preserve"> services are available at Sharia Pegadaian outlets throughout Indonesia</w:t>
      </w:r>
    </w:p>
    <w:p w:rsidR="00BA4746" w:rsidRDefault="00BA4746" w:rsidP="00EC600A">
      <w:pPr>
        <w:pStyle w:val="NormalWeb"/>
        <w:numPr>
          <w:ilvl w:val="0"/>
          <w:numId w:val="16"/>
        </w:numPr>
        <w:spacing w:before="0" w:beforeAutospacing="0" w:after="0" w:afterAutospacing="0" w:line="360" w:lineRule="auto"/>
        <w:jc w:val="both"/>
        <w:rPr>
          <w:color w:val="0E101A"/>
        </w:rPr>
      </w:pPr>
      <w:r>
        <w:rPr>
          <w:color w:val="0E101A"/>
        </w:rPr>
        <w:t>The submission procedure is very easy. Prospective customers or debtors only need to bring collateral in the form of gold jewelry and other valuables to Pegadaian outlets</w:t>
      </w:r>
    </w:p>
    <w:p w:rsidR="00BA4746" w:rsidRDefault="00BA4746" w:rsidP="00EC600A">
      <w:pPr>
        <w:pStyle w:val="NormalWeb"/>
        <w:numPr>
          <w:ilvl w:val="0"/>
          <w:numId w:val="16"/>
        </w:numPr>
        <w:spacing w:before="0" w:beforeAutospacing="0" w:after="0" w:afterAutospacing="0" w:line="360" w:lineRule="auto"/>
        <w:jc w:val="both"/>
        <w:rPr>
          <w:color w:val="0E101A"/>
        </w:rPr>
      </w:pPr>
      <w:r>
        <w:rPr>
          <w:color w:val="0E101A"/>
        </w:rPr>
        <w:t>The loan process is very fast, only takes 15 minutes</w:t>
      </w:r>
    </w:p>
    <w:p w:rsidR="00BA4746" w:rsidRDefault="00BA4746" w:rsidP="00EC600A">
      <w:pPr>
        <w:pStyle w:val="NormalWeb"/>
        <w:numPr>
          <w:ilvl w:val="0"/>
          <w:numId w:val="16"/>
        </w:numPr>
        <w:spacing w:before="0" w:beforeAutospacing="0" w:after="0" w:afterAutospacing="0" w:line="360" w:lineRule="auto"/>
        <w:jc w:val="both"/>
        <w:rPr>
          <w:color w:val="0E101A"/>
        </w:rPr>
      </w:pPr>
      <w:r>
        <w:rPr>
          <w:color w:val="0E101A"/>
        </w:rPr>
        <w:t>Loans (Marhun Bih) ranging from 50 thousand rupiahs to 200 million rupiahs or more</w:t>
      </w:r>
    </w:p>
    <w:p w:rsidR="00BA4746" w:rsidRDefault="00BA4746" w:rsidP="00EC600A">
      <w:pPr>
        <w:pStyle w:val="NormalWeb"/>
        <w:numPr>
          <w:ilvl w:val="0"/>
          <w:numId w:val="16"/>
        </w:numPr>
        <w:spacing w:before="0" w:beforeAutospacing="0" w:after="0" w:afterAutospacing="0" w:line="360" w:lineRule="auto"/>
        <w:jc w:val="both"/>
        <w:rPr>
          <w:color w:val="0E101A"/>
        </w:rPr>
      </w:pPr>
      <w:r>
        <w:rPr>
          <w:color w:val="0E101A"/>
        </w:rPr>
        <w:t>The maximum loan period is 4 months or 120 days and can be extended by paying Ijarah only or paying part of the loan in installments</w:t>
      </w:r>
    </w:p>
    <w:p w:rsidR="00BA4746" w:rsidRDefault="00BA4746" w:rsidP="00EC600A">
      <w:pPr>
        <w:pStyle w:val="NormalWeb"/>
        <w:numPr>
          <w:ilvl w:val="0"/>
          <w:numId w:val="16"/>
        </w:numPr>
        <w:spacing w:before="0" w:beforeAutospacing="0" w:after="0" w:afterAutospacing="0" w:line="360" w:lineRule="auto"/>
        <w:jc w:val="both"/>
        <w:rPr>
          <w:color w:val="0E101A"/>
        </w:rPr>
      </w:pPr>
      <w:r>
        <w:rPr>
          <w:color w:val="0E101A"/>
        </w:rPr>
        <w:t>Repayment can be made at any time</w:t>
      </w:r>
    </w:p>
    <w:p w:rsidR="00BA4746" w:rsidRDefault="00BA4746" w:rsidP="00EC600A">
      <w:pPr>
        <w:pStyle w:val="NormalWeb"/>
        <w:numPr>
          <w:ilvl w:val="0"/>
          <w:numId w:val="16"/>
        </w:numPr>
        <w:spacing w:before="0" w:beforeAutospacing="0" w:after="0" w:afterAutospacing="0" w:line="360" w:lineRule="auto"/>
        <w:jc w:val="both"/>
        <w:rPr>
          <w:color w:val="0E101A"/>
        </w:rPr>
      </w:pPr>
      <w:r>
        <w:rPr>
          <w:color w:val="0E101A"/>
        </w:rPr>
        <w:t>No need to open an account. with the calculation of the capital lease over the life of the loan</w:t>
      </w:r>
    </w:p>
    <w:p w:rsidR="00BA4746" w:rsidRDefault="00BA4746" w:rsidP="00EC600A">
      <w:pPr>
        <w:pStyle w:val="NormalWeb"/>
        <w:numPr>
          <w:ilvl w:val="0"/>
          <w:numId w:val="16"/>
        </w:numPr>
        <w:spacing w:before="0" w:beforeAutospacing="0" w:after="0" w:afterAutospacing="0" w:line="360" w:lineRule="auto"/>
        <w:jc w:val="both"/>
        <w:rPr>
          <w:color w:val="0E101A"/>
        </w:rPr>
      </w:pPr>
      <w:r>
        <w:rPr>
          <w:color w:val="0E101A"/>
        </w:rPr>
        <w:t>The customer receives a loan in cash.</w:t>
      </w:r>
    </w:p>
    <w:p w:rsidR="00BA4746" w:rsidRDefault="00BA4746" w:rsidP="00BA4746">
      <w:pPr>
        <w:pStyle w:val="NormalWeb"/>
        <w:spacing w:before="0" w:beforeAutospacing="0" w:after="0" w:afterAutospacing="0" w:line="360" w:lineRule="auto"/>
        <w:jc w:val="both"/>
        <w:rPr>
          <w:color w:val="0E101A"/>
        </w:rPr>
      </w:pPr>
      <w:r>
        <w:rPr>
          <w:rStyle w:val="Strong"/>
          <w:color w:val="0E101A"/>
        </w:rPr>
        <w:t>Operational Guidelines for Sharia Pawn</w:t>
      </w:r>
    </w:p>
    <w:p w:rsidR="00EC600A" w:rsidRDefault="00BA4746" w:rsidP="00EC600A">
      <w:pPr>
        <w:pStyle w:val="NormalWeb"/>
        <w:spacing w:before="0" w:beforeAutospacing="0" w:after="0" w:afterAutospacing="0" w:line="360" w:lineRule="auto"/>
        <w:ind w:firstLine="720"/>
        <w:jc w:val="both"/>
        <w:rPr>
          <w:color w:val="0E101A"/>
        </w:rPr>
      </w:pPr>
      <w:r>
        <w:rPr>
          <w:color w:val="0E101A"/>
        </w:rPr>
        <w:t>The operational mechanism of sharia pawning is very important to pay attention to because it does not allow sharia pawn operations to be ineffective and efficient. the operational mechanism of the sharia pawning should not make it difficult for prospective customers who are going to borrow money or who are entering into a debt agreement. The contract that is carried out, including the services and products sold, must always be based on the Al-Qur'an, Al-Hadith, and Ijma Ulama, without carrying out business activities that contain elements of usury, maisir, and gharar. therefore the supervision must be attached, both internally, especially the existence of the Sharia Supervisory Board (DPS) as the person in charge relating to its sharia rules, namely the Muslim community primarily, and what is no less important is the feeling of always getting supervision that makes sharia rules itself, Allah SWT.</w:t>
      </w:r>
      <w:r w:rsidR="00EC600A">
        <w:rPr>
          <w:color w:val="0E101A"/>
        </w:rPr>
        <w:t xml:space="preserve"> </w:t>
      </w:r>
      <w:r>
        <w:rPr>
          <w:color w:val="0E101A"/>
        </w:rPr>
        <w:t xml:space="preserve">The operational implementation of sharia pawnshops is almost similar to conventional pawnshops, the fundamental difference between sharia pawnshops and conventional pawnshops lies in the imposition of fees. in a conventional pawnshop, costs are accumulative and multiplied interest. however, the cost of a sharia pawnshop is set once and prepaid which is intended for custody, maintenance, guarding, and appraisal costs. such as conventional pawnshops, sharia pawnshops also distribute borrowed money secured by movable objects. to obtain a sharia pawn loan is very simple, people only show their identity and movable property as collateral. loan money can be obtained in a relatively short time, as well as to pay </w:t>
      </w:r>
      <w:r>
        <w:rPr>
          <w:color w:val="0E101A"/>
        </w:rPr>
        <w:lastRenderedPageBreak/>
        <w:t>off the loan, the customer only needs to submit a certain amount of money and a proof of with a very short process and time</w:t>
      </w:r>
      <w:r w:rsidR="0024522B">
        <w:rPr>
          <w:rStyle w:val="FootnoteReference"/>
          <w:color w:val="0E101A"/>
        </w:rPr>
        <w:footnoteReference w:id="51"/>
      </w:r>
      <w:r>
        <w:rPr>
          <w:color w:val="0E101A"/>
        </w:rPr>
        <w:t>.</w:t>
      </w:r>
    </w:p>
    <w:p w:rsidR="00BA4746" w:rsidRDefault="00BA4746" w:rsidP="00EC600A">
      <w:pPr>
        <w:pStyle w:val="NormalWeb"/>
        <w:spacing w:before="0" w:beforeAutospacing="0" w:after="0" w:afterAutospacing="0" w:line="360" w:lineRule="auto"/>
        <w:ind w:firstLine="720"/>
        <w:jc w:val="both"/>
        <w:rPr>
          <w:color w:val="0E101A"/>
        </w:rPr>
      </w:pPr>
      <w:r>
        <w:rPr>
          <w:color w:val="0E101A"/>
        </w:rPr>
        <w:t>The operational guidelines for pawnshop sharia (POGS) can serve the following products and services</w:t>
      </w:r>
      <w:r w:rsidR="0024522B">
        <w:rPr>
          <w:rStyle w:val="FootnoteReference"/>
          <w:color w:val="0E101A"/>
        </w:rPr>
        <w:footnoteReference w:id="52"/>
      </w:r>
      <w:r>
        <w:rPr>
          <w:color w:val="0E101A"/>
        </w:rPr>
        <w:t>:</w:t>
      </w:r>
    </w:p>
    <w:p w:rsidR="00BA4746" w:rsidRDefault="00BA4746" w:rsidP="00EC600A">
      <w:pPr>
        <w:pStyle w:val="NormalWeb"/>
        <w:numPr>
          <w:ilvl w:val="0"/>
          <w:numId w:val="19"/>
        </w:numPr>
        <w:spacing w:before="0" w:beforeAutospacing="0" w:after="0" w:afterAutospacing="0" w:line="360" w:lineRule="auto"/>
        <w:jc w:val="both"/>
        <w:rPr>
          <w:color w:val="0E101A"/>
        </w:rPr>
      </w:pPr>
      <w:r>
        <w:rPr>
          <w:color w:val="0E101A"/>
        </w:rPr>
        <w:t>Providing loans or financing based on sharia pawning law, sharia pawnshops requires the delivery of the pawned goods by the customer to get loan money, the amount of which is very much determined by the value of the goods being pawned.</w:t>
      </w:r>
    </w:p>
    <w:p w:rsidR="00BA4746" w:rsidRDefault="00BA4746" w:rsidP="00EC600A">
      <w:pPr>
        <w:pStyle w:val="NormalWeb"/>
        <w:numPr>
          <w:ilvl w:val="0"/>
          <w:numId w:val="19"/>
        </w:numPr>
        <w:spacing w:before="0" w:beforeAutospacing="0" w:after="0" w:afterAutospacing="0" w:line="360" w:lineRule="auto"/>
        <w:jc w:val="both"/>
        <w:rPr>
          <w:color w:val="0E101A"/>
        </w:rPr>
      </w:pPr>
      <w:r>
        <w:rPr>
          <w:color w:val="0E101A"/>
        </w:rPr>
        <w:t>Assessment of the value of goods. that is, a sharia pawnshop provides an appraisal service for the value of an item that is carried out by a prospective customer. This appraisal service only charges an assessment fee.</w:t>
      </w:r>
    </w:p>
    <w:p w:rsidR="00BA4746" w:rsidRDefault="00BA4746" w:rsidP="00EC600A">
      <w:pPr>
        <w:pStyle w:val="NormalWeb"/>
        <w:numPr>
          <w:ilvl w:val="0"/>
          <w:numId w:val="19"/>
        </w:numPr>
        <w:spacing w:before="0" w:beforeAutospacing="0" w:after="0" w:afterAutospacing="0" w:line="360" w:lineRule="auto"/>
        <w:jc w:val="both"/>
        <w:rPr>
          <w:color w:val="0E101A"/>
        </w:rPr>
      </w:pPr>
      <w:r>
        <w:rPr>
          <w:color w:val="0E101A"/>
        </w:rPr>
        <w:t>Safekeeping of goods, the operation of safekeeping of goods based on security considerations, or other specific reasons. for the safe keeping services referred to as sharia pawnshops, they may collect storage fees.</w:t>
      </w:r>
    </w:p>
    <w:p w:rsidR="00EC600A" w:rsidRDefault="00BA4746" w:rsidP="00EC600A">
      <w:pPr>
        <w:pStyle w:val="NormalWeb"/>
        <w:numPr>
          <w:ilvl w:val="0"/>
          <w:numId w:val="19"/>
        </w:numPr>
        <w:spacing w:before="0" w:beforeAutospacing="0" w:after="0" w:afterAutospacing="0" w:line="360" w:lineRule="auto"/>
        <w:jc w:val="both"/>
        <w:rPr>
          <w:color w:val="0E101A"/>
        </w:rPr>
      </w:pPr>
      <w:r>
        <w:rPr>
          <w:color w:val="0E101A"/>
        </w:rPr>
        <w:t>Gold outlets, gold sales places that offer authenticity and quality. The gold sold comes with a guarantee certificate.</w:t>
      </w:r>
    </w:p>
    <w:p w:rsidR="00BA4746" w:rsidRDefault="00BA4746" w:rsidP="00EC600A">
      <w:pPr>
        <w:pStyle w:val="NormalWeb"/>
        <w:spacing w:before="0" w:beforeAutospacing="0" w:after="0" w:afterAutospacing="0" w:line="360" w:lineRule="auto"/>
        <w:ind w:firstLine="720"/>
        <w:jc w:val="both"/>
        <w:rPr>
          <w:color w:val="0E101A"/>
        </w:rPr>
      </w:pPr>
      <w:r w:rsidRPr="00EC600A">
        <w:rPr>
          <w:color w:val="0E101A"/>
        </w:rPr>
        <w:t>Dimensionalization variables used in measuring the construct of service quality are as follows effectiveness; access; price; amenities; product; reliability. The relationship between variables and indicators can be illustrated in the image below:</w:t>
      </w:r>
    </w:p>
    <w:p w:rsidR="00EC600A" w:rsidRPr="00EC600A" w:rsidRDefault="00EC600A" w:rsidP="001E319E">
      <w:pPr>
        <w:pStyle w:val="NormalWeb"/>
        <w:spacing w:before="0" w:beforeAutospacing="0" w:after="0" w:afterAutospacing="0" w:line="360" w:lineRule="auto"/>
        <w:jc w:val="both"/>
        <w:rPr>
          <w:color w:val="0E101A"/>
        </w:rPr>
      </w:pPr>
    </w:p>
    <w:p w:rsidR="00C13E17" w:rsidRPr="006C6FA0" w:rsidRDefault="00C13E17" w:rsidP="00EC600A">
      <w:pPr>
        <w:spacing w:after="0" w:line="360" w:lineRule="auto"/>
        <w:jc w:val="center"/>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b/>
          <w:bCs/>
          <w:color w:val="000000"/>
          <w:sz w:val="24"/>
          <w:szCs w:val="24"/>
          <w:lang w:eastAsia="id-ID"/>
        </w:rPr>
        <w:t>Figure 1</w:t>
      </w:r>
    </w:p>
    <w:p w:rsidR="00C13E17" w:rsidRPr="006C6FA0" w:rsidRDefault="00C13E17" w:rsidP="00EC600A">
      <w:pPr>
        <w:spacing w:after="0" w:line="360" w:lineRule="auto"/>
        <w:ind w:left="284" w:right="260" w:firstLine="720"/>
        <w:jc w:val="center"/>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b/>
          <w:bCs/>
          <w:color w:val="000000"/>
          <w:sz w:val="24"/>
          <w:szCs w:val="24"/>
          <w:lang w:eastAsia="id-ID"/>
        </w:rPr>
        <w:t>Dimensionalization of Service Quality Variables</w:t>
      </w:r>
    </w:p>
    <w:p w:rsidR="00C13E17" w:rsidRPr="006C6FA0" w:rsidRDefault="00C13E17" w:rsidP="00EC600A">
      <w:pPr>
        <w:spacing w:after="0" w:line="360" w:lineRule="auto"/>
        <w:jc w:val="center"/>
        <w:rPr>
          <w:rFonts w:ascii="Times New Roman" w:eastAsia="Times New Roman" w:hAnsi="Times New Roman" w:cs="Times New Roman"/>
          <w:color w:val="000000"/>
          <w:sz w:val="24"/>
          <w:szCs w:val="24"/>
          <w:lang w:eastAsia="id-ID"/>
        </w:rPr>
      </w:pPr>
    </w:p>
    <w:p w:rsidR="00C13E17" w:rsidRPr="006C6FA0" w:rsidRDefault="00EC7B77" w:rsidP="00B3717A">
      <w:pPr>
        <w:spacing w:line="360" w:lineRule="auto"/>
        <w:jc w:val="center"/>
        <w:rPr>
          <w:rFonts w:ascii="Times New Roman" w:eastAsia="Times New Roman" w:hAnsi="Times New Roman" w:cs="Times New Roman"/>
          <w:color w:val="000000"/>
          <w:sz w:val="24"/>
          <w:szCs w:val="24"/>
          <w:lang w:eastAsia="id-ID"/>
        </w:rPr>
      </w:pPr>
      <w:r w:rsidRPr="00EC7B77">
        <w:rPr>
          <w:rFonts w:ascii="Calibri" w:eastAsia="Times New Roman" w:hAnsi="Calibri" w:cs="Calibri"/>
          <w:noProof/>
          <w:color w:val="000000"/>
          <w:lang w:eastAsia="id-ID"/>
        </w:rPr>
        <w:pict>
          <v:group id="_x0000_s1026" style="position:absolute;left:0;text-align:left;margin-left:58.85pt;margin-top:8.85pt;width:375.75pt;height:179pt;z-index:251658240" coordorigin="2415,11850" coordsize="7800,3705">
            <v:rect id="_x0000_s1027" style="position:absolute;left:2415;top:11850;width:7800;height:3705" strokeweight="1.5pt"/>
            <v:rect id="_x0000_s1028" style="position:absolute;left:3231;top:14335;width:3132;height:434">
              <v:textbox style="mso-next-textbox:#_x0000_s1028">
                <w:txbxContent>
                  <w:p w:rsidR="00584692" w:rsidRPr="00F12790" w:rsidRDefault="00A077B2" w:rsidP="00584692">
                    <w:pPr>
                      <w:jc w:val="center"/>
                    </w:pPr>
                    <w:r>
                      <w:rPr>
                        <w:rFonts w:ascii="Times New Roman" w:eastAsia="Times New Roman" w:hAnsi="Times New Roman"/>
                        <w:sz w:val="24"/>
                      </w:rPr>
                      <w:t>Product</w:t>
                    </w:r>
                  </w:p>
                </w:txbxContent>
              </v:textbox>
            </v:rect>
            <v:rect id="_x0000_s1029" style="position:absolute;left:3231;top:14865;width:3132;height:484">
              <v:textbox style="mso-next-textbox:#_x0000_s1029">
                <w:txbxContent>
                  <w:p w:rsidR="00584692" w:rsidRPr="00F12790" w:rsidRDefault="00A077B2" w:rsidP="00584692">
                    <w:pPr>
                      <w:jc w:val="center"/>
                    </w:pPr>
                    <w:r>
                      <w:rPr>
                        <w:rFonts w:ascii="Times New Roman" w:eastAsia="Times New Roman" w:hAnsi="Times New Roman"/>
                        <w:sz w:val="24"/>
                      </w:rPr>
                      <w:t>Reliability</w:t>
                    </w:r>
                  </w:p>
                </w:txbxContent>
              </v:textbox>
            </v:rect>
            <v:shapetype id="_x0000_t32" coordsize="21600,21600" o:spt="32" o:oned="t" path="m,l21600,21600e" filled="f">
              <v:path arrowok="t" fillok="f" o:connecttype="none"/>
              <o:lock v:ext="edit" shapetype="t"/>
            </v:shapetype>
            <v:shape id="_x0000_s1030" type="#_x0000_t32" style="position:absolute;left:6435;top:13482;width:1360;height:978;flip:x" o:connectortype="straight">
              <v:stroke endarrow="block"/>
            </v:shape>
            <v:shape id="_x0000_s1031" type="#_x0000_t32" style="position:absolute;left:6435;top:13482;width:1360;height:1578;flip:x" o:connectortype="straight">
              <v:stroke endarrow="block"/>
            </v:shape>
            <v:oval id="_x0000_s1032" style="position:absolute;left:7795;top:13005;width:2182;height:1038">
              <v:textbox style="mso-next-textbox:#_x0000_s1032">
                <w:txbxContent>
                  <w:p w:rsidR="00584692" w:rsidRPr="00F12790" w:rsidRDefault="00A077B2" w:rsidP="00584692">
                    <w:pPr>
                      <w:jc w:val="center"/>
                    </w:pPr>
                    <w:r>
                      <w:rPr>
                        <w:rFonts w:ascii="Times New Roman" w:eastAsia="Times New Roman" w:hAnsi="Times New Roman"/>
                        <w:sz w:val="24"/>
                      </w:rPr>
                      <w:t>Quality of Service</w:t>
                    </w:r>
                  </w:p>
                </w:txbxContent>
              </v:textbox>
            </v:oval>
            <v:rect id="_x0000_s1033" style="position:absolute;left:3231;top:11955;width:3132;height:480">
              <v:textbox style="mso-next-textbox:#_x0000_s1033">
                <w:txbxContent>
                  <w:p w:rsidR="00584692" w:rsidRPr="003A6241" w:rsidRDefault="00A077B2" w:rsidP="00584692">
                    <w:pPr>
                      <w:jc w:val="center"/>
                    </w:pPr>
                    <w:r>
                      <w:rPr>
                        <w:rFonts w:ascii="Times New Roman" w:eastAsia="Times New Roman" w:hAnsi="Times New Roman"/>
                        <w:sz w:val="24"/>
                      </w:rPr>
                      <w:t>Effectiveness</w:t>
                    </w:r>
                  </w:p>
                </w:txbxContent>
              </v:textbox>
            </v:rect>
            <v:shape id="_x0000_s1034" type="#_x0000_t32" style="position:absolute;left:6363;top:12150;width:1432;height:1332;flip:x y" o:connectortype="straight">
              <v:stroke endarrow="block"/>
            </v:shape>
            <v:shape id="_x0000_s1035" type="#_x0000_t32" style="position:absolute;left:6363;top:12803;width:1432;height:679;flip:x y" o:connectortype="straight">
              <v:stroke endarrow="block"/>
            </v:shape>
            <v:shape id="_x0000_s1036" type="#_x0000_t32" style="position:absolute;left:6363;top:13339;width:1432;height:122;flip:x y" o:connectortype="straight">
              <v:stroke endarrow="block"/>
            </v:shape>
            <v:shape id="_x0000_s1037" type="#_x0000_t32" style="position:absolute;left:6363;top:13482;width:1432;height:353;flip:x" o:connectortype="straight">
              <v:stroke endarrow="block"/>
            </v:shape>
            <v:rect id="_x0000_s1038" style="position:absolute;left:3231;top:12540;width:3132;height:465">
              <v:textbox style="mso-next-textbox:#_x0000_s1038">
                <w:txbxContent>
                  <w:p w:rsidR="00584692" w:rsidRPr="00F12790" w:rsidRDefault="00584692" w:rsidP="00584692">
                    <w:pPr>
                      <w:jc w:val="center"/>
                    </w:pPr>
                    <w:r>
                      <w:rPr>
                        <w:rFonts w:ascii="Times New Roman" w:eastAsia="Times New Roman" w:hAnsi="Times New Roman"/>
                        <w:sz w:val="24"/>
                      </w:rPr>
                      <w:t>Ac</w:t>
                    </w:r>
                    <w:r w:rsidR="00A077B2">
                      <w:rPr>
                        <w:rFonts w:ascii="Times New Roman" w:eastAsia="Times New Roman" w:hAnsi="Times New Roman"/>
                        <w:sz w:val="24"/>
                      </w:rPr>
                      <w:t>c</w:t>
                    </w:r>
                    <w:r>
                      <w:rPr>
                        <w:rFonts w:ascii="Times New Roman" w:eastAsia="Times New Roman" w:hAnsi="Times New Roman"/>
                        <w:sz w:val="24"/>
                      </w:rPr>
                      <w:t>ess</w:t>
                    </w:r>
                  </w:p>
                </w:txbxContent>
              </v:textbox>
            </v:rect>
            <v:rect id="_x0000_s1039" style="position:absolute;left:3231;top:13111;width:3132;height:493">
              <v:textbox style="mso-next-textbox:#_x0000_s1039">
                <w:txbxContent>
                  <w:p w:rsidR="00584692" w:rsidRPr="00F12790" w:rsidRDefault="00584692" w:rsidP="00584692">
                    <w:pPr>
                      <w:jc w:val="center"/>
                    </w:pPr>
                    <w:r>
                      <w:rPr>
                        <w:rFonts w:ascii="Times New Roman" w:eastAsia="Times New Roman" w:hAnsi="Times New Roman"/>
                        <w:sz w:val="24"/>
                      </w:rPr>
                      <w:t>Price</w:t>
                    </w:r>
                  </w:p>
                </w:txbxContent>
              </v:textbox>
            </v:rect>
            <v:rect id="_x0000_s1040" style="position:absolute;left:3231;top:13710;width:3132;height:465">
              <v:textbox style="mso-next-textbox:#_x0000_s1040">
                <w:txbxContent>
                  <w:p w:rsidR="00584692" w:rsidRPr="00F12790" w:rsidRDefault="00A077B2" w:rsidP="00584692">
                    <w:pPr>
                      <w:jc w:val="center"/>
                    </w:pPr>
                    <w:r>
                      <w:rPr>
                        <w:rFonts w:ascii="Times New Roman" w:eastAsia="Times New Roman" w:hAnsi="Times New Roman"/>
                        <w:sz w:val="24"/>
                      </w:rPr>
                      <w:t>Facilities</w:t>
                    </w:r>
                  </w:p>
                </w:txbxContent>
              </v:textbox>
            </v:rect>
          </v:group>
        </w:pict>
      </w:r>
      <w:r w:rsidR="00C13E17" w:rsidRPr="006C6FA0">
        <w:rPr>
          <w:rFonts w:ascii="Times New Roman" w:eastAsia="Times New Roman" w:hAnsi="Times New Roman" w:cs="Times New Roman"/>
          <w:color w:val="000000"/>
          <w:sz w:val="24"/>
          <w:szCs w:val="24"/>
          <w:lang w:eastAsia="id-ID"/>
        </w:rPr>
        <w:t> </w:t>
      </w:r>
    </w:p>
    <w:p w:rsidR="00C13E17" w:rsidRPr="006C6FA0" w:rsidRDefault="00C13E17" w:rsidP="00B3717A">
      <w:pPr>
        <w:spacing w:line="360" w:lineRule="auto"/>
        <w:jc w:val="center"/>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color w:val="000000"/>
          <w:sz w:val="24"/>
          <w:szCs w:val="24"/>
          <w:lang w:eastAsia="id-ID"/>
        </w:rPr>
        <w:t> </w:t>
      </w:r>
    </w:p>
    <w:p w:rsidR="00C13E17" w:rsidRPr="006C6FA0" w:rsidRDefault="00C13E17" w:rsidP="00B3717A">
      <w:pPr>
        <w:spacing w:line="360" w:lineRule="auto"/>
        <w:jc w:val="center"/>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color w:val="000000"/>
          <w:sz w:val="24"/>
          <w:szCs w:val="24"/>
          <w:lang w:eastAsia="id-ID"/>
        </w:rPr>
        <w:t> </w:t>
      </w:r>
    </w:p>
    <w:p w:rsidR="00C13E17" w:rsidRPr="006C6FA0" w:rsidRDefault="00C13E17" w:rsidP="00B3717A">
      <w:pPr>
        <w:spacing w:line="360" w:lineRule="auto"/>
        <w:jc w:val="center"/>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color w:val="000000"/>
          <w:sz w:val="24"/>
          <w:szCs w:val="24"/>
          <w:lang w:eastAsia="id-ID"/>
        </w:rPr>
        <w:t> </w:t>
      </w:r>
    </w:p>
    <w:p w:rsidR="00C13E17" w:rsidRPr="006C6FA0" w:rsidRDefault="00C13E17" w:rsidP="00B3717A">
      <w:pPr>
        <w:spacing w:after="0" w:line="360" w:lineRule="auto"/>
        <w:ind w:left="426" w:hanging="850"/>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color w:val="000000"/>
          <w:sz w:val="24"/>
          <w:szCs w:val="24"/>
          <w:lang w:eastAsia="id-ID"/>
        </w:rPr>
        <w:t> </w:t>
      </w:r>
    </w:p>
    <w:p w:rsidR="00C13E17" w:rsidRPr="006C6FA0" w:rsidRDefault="00C13E17" w:rsidP="00B3717A">
      <w:pPr>
        <w:spacing w:after="0" w:line="360" w:lineRule="auto"/>
        <w:ind w:left="426" w:hanging="850"/>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color w:val="000000"/>
          <w:sz w:val="24"/>
          <w:szCs w:val="24"/>
          <w:lang w:eastAsia="id-ID"/>
        </w:rPr>
        <w:t> </w:t>
      </w:r>
    </w:p>
    <w:p w:rsidR="00C13E17" w:rsidRPr="006C6FA0" w:rsidRDefault="00C13E17" w:rsidP="00B3717A">
      <w:pPr>
        <w:spacing w:after="0" w:line="360" w:lineRule="auto"/>
        <w:ind w:left="426" w:hanging="850"/>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color w:val="000000"/>
          <w:sz w:val="24"/>
          <w:szCs w:val="24"/>
          <w:lang w:eastAsia="id-ID"/>
        </w:rPr>
        <w:t> </w:t>
      </w:r>
    </w:p>
    <w:p w:rsidR="00C13E17" w:rsidRPr="006C6FA0" w:rsidRDefault="00C13E17" w:rsidP="00B3717A">
      <w:pPr>
        <w:spacing w:after="0" w:line="360" w:lineRule="auto"/>
        <w:ind w:left="426" w:hanging="850"/>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color w:val="000000"/>
          <w:sz w:val="24"/>
          <w:szCs w:val="24"/>
          <w:lang w:eastAsia="id-ID"/>
        </w:rPr>
        <w:t> </w:t>
      </w:r>
    </w:p>
    <w:p w:rsidR="00C13E17" w:rsidRPr="006C6FA0" w:rsidRDefault="00C13E17" w:rsidP="00B3717A">
      <w:pPr>
        <w:spacing w:after="0" w:line="360" w:lineRule="auto"/>
        <w:ind w:left="426" w:hanging="850"/>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color w:val="000000"/>
          <w:sz w:val="24"/>
          <w:szCs w:val="24"/>
          <w:lang w:eastAsia="id-ID"/>
        </w:rPr>
        <w:lastRenderedPageBreak/>
        <w:t> </w:t>
      </w:r>
    </w:p>
    <w:p w:rsidR="00C13E17" w:rsidRPr="006C6FA0" w:rsidRDefault="00C13E17" w:rsidP="00B3717A">
      <w:pPr>
        <w:spacing w:after="0" w:line="360" w:lineRule="auto"/>
        <w:ind w:left="284" w:right="260" w:firstLine="720"/>
        <w:jc w:val="center"/>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color w:val="000000"/>
          <w:sz w:val="24"/>
          <w:szCs w:val="24"/>
          <w:lang w:eastAsia="id-ID"/>
        </w:rPr>
        <w:t> </w:t>
      </w:r>
    </w:p>
    <w:p w:rsidR="00A077B2" w:rsidRPr="006C6FA0" w:rsidRDefault="00C13E17" w:rsidP="00EC600A">
      <w:pPr>
        <w:spacing w:after="0" w:line="360" w:lineRule="auto"/>
        <w:ind w:firstLine="720"/>
        <w:jc w:val="both"/>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color w:val="000000"/>
          <w:sz w:val="24"/>
          <w:szCs w:val="24"/>
          <w:lang w:eastAsia="id-ID"/>
        </w:rPr>
        <w:t xml:space="preserve">Six indicators have been used in the study of Service Quality, </w:t>
      </w:r>
      <w:r w:rsidR="009616D0">
        <w:rPr>
          <w:rFonts w:ascii="Times New Roman" w:eastAsia="Times New Roman" w:hAnsi="Times New Roman" w:cs="Times New Roman"/>
          <w:color w:val="000000"/>
          <w:sz w:val="24"/>
          <w:szCs w:val="24"/>
          <w:lang w:eastAsia="id-ID"/>
        </w:rPr>
        <w:t xml:space="preserve">are </w:t>
      </w:r>
      <w:r w:rsidRPr="006C6FA0">
        <w:rPr>
          <w:rFonts w:ascii="Times New Roman" w:eastAsia="Times New Roman" w:hAnsi="Times New Roman" w:cs="Times New Roman"/>
          <w:color w:val="000000"/>
          <w:sz w:val="24"/>
          <w:szCs w:val="24"/>
          <w:lang w:eastAsia="id-ID"/>
        </w:rPr>
        <w:t>: Effectiveness and Assurance (X5) ; Access (X6) ; Price (X7) ; Facilities (X8) ; Products (X9) ; Reliability (X10) . The calculation of the service quality index number is as presented in Table 4.8 below,</w:t>
      </w:r>
    </w:p>
    <w:p w:rsidR="00C13E17" w:rsidRPr="006C6FA0" w:rsidRDefault="00C13E17" w:rsidP="00B3717A">
      <w:pPr>
        <w:spacing w:after="0" w:line="360" w:lineRule="auto"/>
        <w:jc w:val="center"/>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b/>
          <w:bCs/>
          <w:color w:val="000000"/>
          <w:sz w:val="24"/>
          <w:szCs w:val="24"/>
          <w:lang w:eastAsia="id-ID"/>
        </w:rPr>
        <w:t>Table 2</w:t>
      </w:r>
    </w:p>
    <w:p w:rsidR="00C13E17" w:rsidRPr="006C6FA0" w:rsidRDefault="00C13E17" w:rsidP="00B3717A">
      <w:pPr>
        <w:spacing w:after="0" w:line="360" w:lineRule="auto"/>
        <w:jc w:val="center"/>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b/>
          <w:bCs/>
          <w:color w:val="000000"/>
          <w:sz w:val="24"/>
          <w:szCs w:val="24"/>
          <w:lang w:eastAsia="id-ID"/>
        </w:rPr>
        <w:t>Frequency Distribution of Service Quality Items</w:t>
      </w:r>
    </w:p>
    <w:tbl>
      <w:tblPr>
        <w:tblW w:w="0" w:type="auto"/>
        <w:tblInd w:w="339" w:type="dxa"/>
        <w:tblCellMar>
          <w:left w:w="0" w:type="dxa"/>
          <w:right w:w="0" w:type="dxa"/>
        </w:tblCellMar>
        <w:tblLook w:val="04A0"/>
      </w:tblPr>
      <w:tblGrid>
        <w:gridCol w:w="1688"/>
        <w:gridCol w:w="539"/>
        <w:gridCol w:w="538"/>
        <w:gridCol w:w="540"/>
        <w:gridCol w:w="540"/>
        <w:gridCol w:w="540"/>
        <w:gridCol w:w="540"/>
        <w:gridCol w:w="540"/>
        <w:gridCol w:w="540"/>
        <w:gridCol w:w="540"/>
        <w:gridCol w:w="585"/>
        <w:gridCol w:w="1341"/>
      </w:tblGrid>
      <w:tr w:rsidR="00C13E17" w:rsidRPr="006C6FA0" w:rsidTr="00C13E17">
        <w:trPr>
          <w:trHeight w:val="720"/>
        </w:trPr>
        <w:tc>
          <w:tcPr>
            <w:tcW w:w="168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lang w:eastAsia="id-ID"/>
              </w:rPr>
              <w:t>INDICATOR</w:t>
            </w:r>
          </w:p>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lang w:eastAsia="id-ID"/>
              </w:rPr>
              <w:t>Service Quality</w:t>
            </w:r>
          </w:p>
        </w:tc>
        <w:tc>
          <w:tcPr>
            <w:tcW w:w="5442"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lang w:eastAsia="id-ID"/>
              </w:rPr>
              <w:t>Respondents Answer Frequency Regarding</w:t>
            </w:r>
          </w:p>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lang w:eastAsia="id-ID"/>
              </w:rPr>
              <w:t>Service Quality</w:t>
            </w:r>
          </w:p>
        </w:tc>
        <w:tc>
          <w:tcPr>
            <w:tcW w:w="134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lang w:eastAsia="id-ID"/>
              </w:rPr>
              <w:t>INDEX</w:t>
            </w:r>
          </w:p>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b/>
                <w:bCs/>
                <w:lang w:eastAsia="id-ID"/>
              </w:rPr>
              <w:t>Service Quality</w:t>
            </w:r>
          </w:p>
        </w:tc>
      </w:tr>
      <w:tr w:rsidR="00C13E17" w:rsidRPr="006C6FA0" w:rsidTr="00C13E17">
        <w:trPr>
          <w:trHeight w:val="5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3E17" w:rsidRPr="006C6FA0" w:rsidRDefault="00C13E17" w:rsidP="00B3717A">
            <w:pPr>
              <w:spacing w:after="0" w:line="360" w:lineRule="auto"/>
              <w:rPr>
                <w:rFonts w:ascii="Times New Roman" w:eastAsia="Times New Roman" w:hAnsi="Times New Roman" w:cs="Times New Roman"/>
                <w:sz w:val="24"/>
                <w:szCs w:val="24"/>
                <w:lang w:eastAsia="id-ID"/>
              </w:rPr>
            </w:pPr>
          </w:p>
        </w:tc>
        <w:tc>
          <w:tcPr>
            <w:tcW w:w="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1</w:t>
            </w:r>
          </w:p>
        </w:tc>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2</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3</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4</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5</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6</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7</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8</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9</w:t>
            </w:r>
          </w:p>
        </w:tc>
        <w:tc>
          <w:tcPr>
            <w:tcW w:w="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3E17" w:rsidRPr="006C6FA0" w:rsidRDefault="00C13E17" w:rsidP="00B3717A">
            <w:pPr>
              <w:spacing w:after="0" w:line="360" w:lineRule="auto"/>
              <w:rPr>
                <w:rFonts w:ascii="Times New Roman" w:eastAsia="Times New Roman" w:hAnsi="Times New Roman" w:cs="Times New Roman"/>
                <w:sz w:val="24"/>
                <w:szCs w:val="24"/>
                <w:lang w:eastAsia="id-ID"/>
              </w:rPr>
            </w:pPr>
          </w:p>
        </w:tc>
      </w:tr>
      <w:tr w:rsidR="00C13E17" w:rsidRPr="006C6FA0" w:rsidTr="00C13E17">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Effectiveness and Guarantee</w:t>
            </w:r>
          </w:p>
        </w:tc>
        <w:tc>
          <w:tcPr>
            <w:tcW w:w="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0</w:t>
            </w:r>
          </w:p>
        </w:tc>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0</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4</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10</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26</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26</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17</w:t>
            </w:r>
          </w:p>
        </w:tc>
        <w:tc>
          <w:tcPr>
            <w:tcW w:w="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5</w:t>
            </w:r>
          </w:p>
        </w:tc>
        <w:tc>
          <w:tcPr>
            <w:tcW w:w="1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71.63</w:t>
            </w:r>
          </w:p>
        </w:tc>
      </w:tr>
      <w:tr w:rsidR="00C13E17" w:rsidRPr="006C6FA0" w:rsidTr="00C13E17">
        <w:trPr>
          <w:trHeight w:val="56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Access</w:t>
            </w:r>
          </w:p>
        </w:tc>
        <w:tc>
          <w:tcPr>
            <w:tcW w:w="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0</w:t>
            </w:r>
          </w:p>
        </w:tc>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4</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14</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32</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29</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16</w:t>
            </w:r>
          </w:p>
        </w:tc>
        <w:tc>
          <w:tcPr>
            <w:tcW w:w="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w:t>
            </w:r>
          </w:p>
        </w:tc>
        <w:tc>
          <w:tcPr>
            <w:tcW w:w="1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70.9</w:t>
            </w:r>
          </w:p>
        </w:tc>
      </w:tr>
      <w:tr w:rsidR="00C13E17" w:rsidRPr="006C6FA0" w:rsidTr="00C13E17">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Price</w:t>
            </w:r>
          </w:p>
        </w:tc>
        <w:tc>
          <w:tcPr>
            <w:tcW w:w="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0</w:t>
            </w:r>
          </w:p>
        </w:tc>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3</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14</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30</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26</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28</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5</w:t>
            </w:r>
          </w:p>
        </w:tc>
        <w:tc>
          <w:tcPr>
            <w:tcW w:w="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w:t>
            </w:r>
          </w:p>
        </w:tc>
        <w:tc>
          <w:tcPr>
            <w:tcW w:w="1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67.09</w:t>
            </w:r>
          </w:p>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 </w:t>
            </w:r>
          </w:p>
        </w:tc>
      </w:tr>
      <w:tr w:rsidR="00C13E17" w:rsidRPr="006C6FA0" w:rsidTr="00C13E17">
        <w:trPr>
          <w:trHeight w:val="549"/>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Amenities</w:t>
            </w:r>
          </w:p>
        </w:tc>
        <w:tc>
          <w:tcPr>
            <w:tcW w:w="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w:t>
            </w:r>
          </w:p>
        </w:tc>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0</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8</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14</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32</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24</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8</w:t>
            </w:r>
          </w:p>
        </w:tc>
        <w:tc>
          <w:tcPr>
            <w:tcW w:w="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1</w:t>
            </w:r>
          </w:p>
        </w:tc>
        <w:tc>
          <w:tcPr>
            <w:tcW w:w="1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66.36</w:t>
            </w:r>
          </w:p>
        </w:tc>
      </w:tr>
      <w:tr w:rsidR="00C13E17" w:rsidRPr="006C6FA0" w:rsidTr="00C13E17">
        <w:trPr>
          <w:trHeight w:val="571"/>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Product</w:t>
            </w:r>
          </w:p>
        </w:tc>
        <w:tc>
          <w:tcPr>
            <w:tcW w:w="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1</w:t>
            </w:r>
          </w:p>
        </w:tc>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0</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0</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7</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19</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26</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23</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21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11</w:t>
            </w:r>
          </w:p>
        </w:tc>
        <w:tc>
          <w:tcPr>
            <w:tcW w:w="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0</w:t>
            </w:r>
          </w:p>
        </w:tc>
        <w:tc>
          <w:tcPr>
            <w:tcW w:w="1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64.36</w:t>
            </w:r>
          </w:p>
        </w:tc>
      </w:tr>
      <w:tr w:rsidR="00C13E17" w:rsidRPr="006C6FA0" w:rsidTr="00C13E17">
        <w:trPr>
          <w:trHeight w:val="467"/>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sz w:val="24"/>
                <w:szCs w:val="24"/>
                <w:lang w:eastAsia="id-ID"/>
              </w:rPr>
              <w:t>Reliability</w:t>
            </w:r>
          </w:p>
        </w:tc>
        <w:tc>
          <w:tcPr>
            <w:tcW w:w="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0</w:t>
            </w:r>
          </w:p>
        </w:tc>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0</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3</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4</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11</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28</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27</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22</w:t>
            </w:r>
          </w:p>
        </w:tc>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11</w:t>
            </w:r>
          </w:p>
        </w:tc>
        <w:tc>
          <w:tcPr>
            <w:tcW w:w="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4</w:t>
            </w:r>
          </w:p>
        </w:tc>
        <w:tc>
          <w:tcPr>
            <w:tcW w:w="1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68.36</w:t>
            </w:r>
          </w:p>
        </w:tc>
      </w:tr>
      <w:tr w:rsidR="00C13E17" w:rsidRPr="006C6FA0" w:rsidTr="00C13E17">
        <w:trPr>
          <w:trHeight w:val="350"/>
        </w:trPr>
        <w:tc>
          <w:tcPr>
            <w:tcW w:w="7130"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Total</w:t>
            </w:r>
          </w:p>
        </w:tc>
        <w:tc>
          <w:tcPr>
            <w:tcW w:w="1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3E17" w:rsidRPr="006C6FA0" w:rsidRDefault="00C13E17" w:rsidP="00B3717A">
            <w:pPr>
              <w:spacing w:after="0" w:line="360" w:lineRule="auto"/>
              <w:jc w:val="center"/>
              <w:rPr>
                <w:rFonts w:ascii="Times New Roman" w:eastAsia="Times New Roman" w:hAnsi="Times New Roman" w:cs="Times New Roman"/>
                <w:sz w:val="24"/>
                <w:szCs w:val="24"/>
                <w:lang w:eastAsia="id-ID"/>
              </w:rPr>
            </w:pPr>
            <w:r w:rsidRPr="006C6FA0">
              <w:rPr>
                <w:rFonts w:ascii="Times New Roman" w:eastAsia="Times New Roman" w:hAnsi="Times New Roman" w:cs="Times New Roman"/>
                <w:lang w:eastAsia="id-ID"/>
              </w:rPr>
              <w:t>68.11</w:t>
            </w:r>
          </w:p>
        </w:tc>
      </w:tr>
    </w:tbl>
    <w:p w:rsidR="00C13E17" w:rsidRPr="006C6FA0" w:rsidRDefault="00C13E17" w:rsidP="00B3717A">
      <w:pPr>
        <w:spacing w:after="0" w:line="360" w:lineRule="auto"/>
        <w:jc w:val="center"/>
        <w:rPr>
          <w:rFonts w:ascii="Times New Roman" w:eastAsia="Times New Roman" w:hAnsi="Times New Roman" w:cs="Times New Roman"/>
          <w:color w:val="000000"/>
          <w:sz w:val="27"/>
          <w:szCs w:val="27"/>
          <w:lang w:eastAsia="id-ID"/>
        </w:rPr>
      </w:pPr>
      <w:r w:rsidRPr="006C6FA0">
        <w:rPr>
          <w:rFonts w:ascii="Times New Roman" w:eastAsia="Times New Roman" w:hAnsi="Times New Roman" w:cs="Times New Roman"/>
          <w:color w:val="000000"/>
          <w:sz w:val="24"/>
          <w:szCs w:val="24"/>
          <w:lang w:eastAsia="id-ID"/>
        </w:rPr>
        <w:t> </w:t>
      </w:r>
    </w:p>
    <w:p w:rsidR="00C13E17" w:rsidRPr="006C6FA0" w:rsidRDefault="00C13E17" w:rsidP="00B3717A">
      <w:pPr>
        <w:spacing w:after="0" w:line="360" w:lineRule="auto"/>
        <w:jc w:val="both"/>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color w:val="000000"/>
          <w:sz w:val="24"/>
          <w:szCs w:val="24"/>
          <w:lang w:eastAsia="id-ID"/>
        </w:rPr>
        <w:t>                              Source: Primary data processed, 201 9</w:t>
      </w:r>
    </w:p>
    <w:p w:rsidR="00A077B2" w:rsidRPr="00A077B2" w:rsidRDefault="00C13E17" w:rsidP="00A077B2">
      <w:pPr>
        <w:spacing w:after="0" w:line="360" w:lineRule="auto"/>
        <w:jc w:val="both"/>
        <w:rPr>
          <w:rFonts w:ascii="Times New Roman" w:eastAsia="Times New Roman" w:hAnsi="Times New Roman" w:cs="Times New Roman"/>
          <w:color w:val="000000"/>
          <w:sz w:val="24"/>
          <w:szCs w:val="24"/>
          <w:lang w:eastAsia="id-ID"/>
        </w:rPr>
      </w:pPr>
      <w:r w:rsidRPr="006C6FA0">
        <w:rPr>
          <w:rFonts w:ascii="Times New Roman" w:eastAsia="Times New Roman" w:hAnsi="Times New Roman" w:cs="Times New Roman"/>
          <w:color w:val="000000"/>
          <w:sz w:val="24"/>
          <w:szCs w:val="24"/>
          <w:lang w:eastAsia="id-ID"/>
        </w:rPr>
        <w:t>              </w:t>
      </w:r>
      <w:r w:rsidR="00A077B2" w:rsidRPr="00A077B2">
        <w:rPr>
          <w:rFonts w:ascii="Times New Roman" w:eastAsia="Times New Roman" w:hAnsi="Times New Roman" w:cs="Times New Roman"/>
          <w:color w:val="000000"/>
          <w:sz w:val="24"/>
          <w:szCs w:val="24"/>
          <w:lang w:eastAsia="id-ID"/>
        </w:rPr>
        <w:t>Source: Primary data processed, 2019</w:t>
      </w:r>
    </w:p>
    <w:p w:rsidR="00A077B2" w:rsidRPr="00A077B2" w:rsidRDefault="00A077B2" w:rsidP="00A077B2">
      <w:pPr>
        <w:spacing w:after="0" w:line="360" w:lineRule="auto"/>
        <w:ind w:firstLine="720"/>
        <w:jc w:val="both"/>
        <w:rPr>
          <w:rFonts w:ascii="Times New Roman" w:eastAsia="Times New Roman" w:hAnsi="Times New Roman" w:cs="Times New Roman"/>
          <w:color w:val="000000"/>
          <w:sz w:val="24"/>
          <w:szCs w:val="24"/>
          <w:lang w:eastAsia="id-ID"/>
        </w:rPr>
      </w:pPr>
      <w:r w:rsidRPr="00A077B2">
        <w:rPr>
          <w:rFonts w:ascii="Times New Roman" w:eastAsia="Times New Roman" w:hAnsi="Times New Roman" w:cs="Times New Roman"/>
          <w:color w:val="000000"/>
          <w:sz w:val="24"/>
          <w:szCs w:val="24"/>
          <w:lang w:eastAsia="id-ID"/>
        </w:rPr>
        <w:t>From Table 2, it can be seen that the results of the distribution of Service Quality items are as follows:</w:t>
      </w:r>
    </w:p>
    <w:p w:rsidR="00A077B2" w:rsidRPr="00A077B2" w:rsidRDefault="00A077B2" w:rsidP="00A077B2">
      <w:pPr>
        <w:pStyle w:val="ListParagraph"/>
        <w:numPr>
          <w:ilvl w:val="0"/>
          <w:numId w:val="5"/>
        </w:numPr>
        <w:tabs>
          <w:tab w:val="left" w:pos="3828"/>
        </w:tabs>
        <w:spacing w:after="0" w:line="360" w:lineRule="auto"/>
        <w:jc w:val="both"/>
        <w:rPr>
          <w:rFonts w:ascii="Times New Roman" w:eastAsia="Times New Roman" w:hAnsi="Times New Roman" w:cs="Times New Roman"/>
          <w:color w:val="000000"/>
          <w:sz w:val="24"/>
          <w:szCs w:val="24"/>
          <w:lang w:eastAsia="id-ID"/>
        </w:rPr>
      </w:pPr>
      <w:r w:rsidRPr="00A077B2">
        <w:rPr>
          <w:rFonts w:ascii="Times New Roman" w:eastAsia="Times New Roman" w:hAnsi="Times New Roman" w:cs="Times New Roman"/>
          <w:color w:val="000000"/>
          <w:sz w:val="24"/>
          <w:szCs w:val="24"/>
          <w:lang w:eastAsia="id-ID"/>
        </w:rPr>
        <w:t xml:space="preserve">Service Quality Index regarding Effectiveness and Guarantee has a high interpretation with an index value of 71.63. This data shows that most respondents think that Sharia Pegadaian has shown fast, accurate, safe and privacy services for customers, this has affected respondents on customer satisfaction at </w:t>
      </w:r>
      <w:r w:rsidRPr="00A077B2">
        <w:rPr>
          <w:rFonts w:ascii="Times New Roman" w:eastAsia="Times New Roman" w:hAnsi="Times New Roman" w:cs="Times New Roman"/>
          <w:i/>
          <w:color w:val="000000"/>
          <w:sz w:val="24"/>
          <w:szCs w:val="24"/>
          <w:lang w:eastAsia="id-ID"/>
        </w:rPr>
        <w:t>Syariah Pegadaian PERUM</w:t>
      </w:r>
      <w:r w:rsidRPr="00A077B2">
        <w:rPr>
          <w:rFonts w:ascii="Times New Roman" w:eastAsia="Times New Roman" w:hAnsi="Times New Roman" w:cs="Times New Roman"/>
          <w:color w:val="000000"/>
          <w:sz w:val="24"/>
          <w:szCs w:val="24"/>
          <w:lang w:eastAsia="id-ID"/>
        </w:rPr>
        <w:t>.</w:t>
      </w:r>
    </w:p>
    <w:p w:rsidR="00A077B2" w:rsidRPr="00A077B2" w:rsidRDefault="00A077B2" w:rsidP="00A077B2">
      <w:pPr>
        <w:pStyle w:val="ListParagraph"/>
        <w:numPr>
          <w:ilvl w:val="0"/>
          <w:numId w:val="5"/>
        </w:numPr>
        <w:tabs>
          <w:tab w:val="left" w:pos="3828"/>
        </w:tabs>
        <w:spacing w:after="0" w:line="360" w:lineRule="auto"/>
        <w:jc w:val="both"/>
        <w:rPr>
          <w:rFonts w:ascii="Times New Roman" w:eastAsia="Times New Roman" w:hAnsi="Times New Roman" w:cs="Times New Roman"/>
          <w:i/>
          <w:color w:val="000000"/>
          <w:sz w:val="24"/>
          <w:szCs w:val="24"/>
          <w:lang w:eastAsia="id-ID"/>
        </w:rPr>
      </w:pPr>
      <w:r w:rsidRPr="00A077B2">
        <w:rPr>
          <w:rFonts w:ascii="Times New Roman" w:eastAsia="Times New Roman" w:hAnsi="Times New Roman" w:cs="Times New Roman"/>
          <w:color w:val="000000"/>
          <w:sz w:val="24"/>
          <w:szCs w:val="24"/>
          <w:lang w:eastAsia="id-ID"/>
        </w:rPr>
        <w:t xml:space="preserve">Service Quality Index about having knowledge about access has a high interpretation with an index value of 70.9. This data shows that most respondents think that Sharia Pegadaian </w:t>
      </w:r>
      <w:r w:rsidRPr="00A077B2">
        <w:rPr>
          <w:rFonts w:ascii="Times New Roman" w:eastAsia="Times New Roman" w:hAnsi="Times New Roman" w:cs="Times New Roman"/>
          <w:color w:val="000000"/>
          <w:sz w:val="24"/>
          <w:szCs w:val="24"/>
          <w:lang w:eastAsia="id-ID"/>
        </w:rPr>
        <w:lastRenderedPageBreak/>
        <w:t xml:space="preserve">offers and provides convenience in meeting financial needs to customers at </w:t>
      </w:r>
      <w:r w:rsidRPr="00A077B2">
        <w:rPr>
          <w:rFonts w:ascii="Times New Roman" w:eastAsia="Times New Roman" w:hAnsi="Times New Roman" w:cs="Times New Roman"/>
          <w:i/>
          <w:color w:val="000000"/>
          <w:sz w:val="24"/>
          <w:szCs w:val="24"/>
          <w:lang w:eastAsia="id-ID"/>
        </w:rPr>
        <w:t>PERUM Syariah Pegadaian.</w:t>
      </w:r>
    </w:p>
    <w:p w:rsidR="00A077B2" w:rsidRPr="00A077B2" w:rsidRDefault="00A077B2" w:rsidP="00A077B2">
      <w:pPr>
        <w:pStyle w:val="ListParagraph"/>
        <w:numPr>
          <w:ilvl w:val="0"/>
          <w:numId w:val="5"/>
        </w:numPr>
        <w:tabs>
          <w:tab w:val="left" w:pos="3828"/>
        </w:tabs>
        <w:spacing w:after="0" w:line="360" w:lineRule="auto"/>
        <w:jc w:val="both"/>
        <w:rPr>
          <w:rFonts w:ascii="Times New Roman" w:eastAsia="Times New Roman" w:hAnsi="Times New Roman" w:cs="Times New Roman"/>
          <w:color w:val="000000"/>
          <w:sz w:val="24"/>
          <w:szCs w:val="24"/>
          <w:lang w:eastAsia="id-ID"/>
        </w:rPr>
      </w:pPr>
      <w:r w:rsidRPr="00A077B2">
        <w:rPr>
          <w:rFonts w:ascii="Times New Roman" w:eastAsia="Times New Roman" w:hAnsi="Times New Roman" w:cs="Times New Roman"/>
          <w:color w:val="000000"/>
          <w:sz w:val="24"/>
          <w:szCs w:val="24"/>
          <w:lang w:eastAsia="id-ID"/>
        </w:rPr>
        <w:t>Service Quality Index regarding price has a moderate interpretation with an index value of 67.9. This data shows that most respondents consider that the administrative rates and the estimated value in Islamic pawnshops are more competitive.</w:t>
      </w:r>
    </w:p>
    <w:p w:rsidR="00A077B2" w:rsidRPr="00A077B2" w:rsidRDefault="00A077B2" w:rsidP="00A077B2">
      <w:pPr>
        <w:pStyle w:val="ListParagraph"/>
        <w:numPr>
          <w:ilvl w:val="0"/>
          <w:numId w:val="5"/>
        </w:numPr>
        <w:tabs>
          <w:tab w:val="left" w:pos="3828"/>
        </w:tabs>
        <w:spacing w:after="0" w:line="360" w:lineRule="auto"/>
        <w:jc w:val="both"/>
        <w:rPr>
          <w:rFonts w:ascii="Times New Roman" w:eastAsia="Times New Roman" w:hAnsi="Times New Roman" w:cs="Times New Roman"/>
          <w:color w:val="000000"/>
          <w:sz w:val="24"/>
          <w:szCs w:val="24"/>
          <w:lang w:eastAsia="id-ID"/>
        </w:rPr>
      </w:pPr>
      <w:r w:rsidRPr="00A077B2">
        <w:rPr>
          <w:rFonts w:ascii="Times New Roman" w:eastAsia="Times New Roman" w:hAnsi="Times New Roman" w:cs="Times New Roman"/>
          <w:color w:val="000000"/>
          <w:sz w:val="24"/>
          <w:szCs w:val="24"/>
          <w:lang w:eastAsia="id-ID"/>
        </w:rPr>
        <w:t>Service Quality Index regarding Facilities has a moderate interpretation with an index value of 66.36. This data shows that most respondents think that Sharia Pegadaian has shown better physical facilities and spatial planning.</w:t>
      </w:r>
    </w:p>
    <w:p w:rsidR="00A077B2" w:rsidRPr="00A077B2" w:rsidRDefault="00A077B2" w:rsidP="00A077B2">
      <w:pPr>
        <w:pStyle w:val="ListParagraph"/>
        <w:numPr>
          <w:ilvl w:val="0"/>
          <w:numId w:val="5"/>
        </w:numPr>
        <w:tabs>
          <w:tab w:val="left" w:pos="3828"/>
        </w:tabs>
        <w:spacing w:after="0" w:line="360" w:lineRule="auto"/>
        <w:jc w:val="both"/>
        <w:rPr>
          <w:rFonts w:ascii="Times New Roman" w:eastAsia="Times New Roman" w:hAnsi="Times New Roman" w:cs="Times New Roman"/>
          <w:color w:val="000000"/>
          <w:sz w:val="24"/>
          <w:szCs w:val="24"/>
          <w:lang w:eastAsia="id-ID"/>
        </w:rPr>
      </w:pPr>
      <w:r w:rsidRPr="00A077B2">
        <w:rPr>
          <w:rFonts w:ascii="Times New Roman" w:eastAsia="Times New Roman" w:hAnsi="Times New Roman" w:cs="Times New Roman"/>
          <w:color w:val="000000"/>
          <w:sz w:val="24"/>
          <w:szCs w:val="24"/>
          <w:lang w:eastAsia="id-ID"/>
        </w:rPr>
        <w:t>Service Quality Index on Products has a moderate interpretation with an index value of 64.36. This data shows that most respondents think that Islamic pawnshops have a relatively complete product.</w:t>
      </w:r>
    </w:p>
    <w:p w:rsidR="00A077B2" w:rsidRPr="00A077B2" w:rsidRDefault="00A077B2" w:rsidP="00A077B2">
      <w:pPr>
        <w:pStyle w:val="ListParagraph"/>
        <w:numPr>
          <w:ilvl w:val="0"/>
          <w:numId w:val="5"/>
        </w:numPr>
        <w:tabs>
          <w:tab w:val="left" w:pos="3828"/>
        </w:tabs>
        <w:spacing w:after="0" w:line="360" w:lineRule="auto"/>
        <w:jc w:val="both"/>
        <w:rPr>
          <w:rFonts w:ascii="Times New Roman" w:eastAsia="Times New Roman" w:hAnsi="Times New Roman" w:cs="Times New Roman"/>
          <w:color w:val="000000"/>
          <w:sz w:val="24"/>
          <w:szCs w:val="24"/>
          <w:lang w:eastAsia="id-ID"/>
        </w:rPr>
      </w:pPr>
      <w:r w:rsidRPr="00A077B2">
        <w:rPr>
          <w:rFonts w:ascii="Times New Roman" w:eastAsia="Times New Roman" w:hAnsi="Times New Roman" w:cs="Times New Roman"/>
          <w:color w:val="000000"/>
          <w:sz w:val="24"/>
          <w:szCs w:val="24"/>
          <w:lang w:eastAsia="id-ID"/>
        </w:rPr>
        <w:t>Service Quality Index on reliability has a moderate interpretation with an index value of 65.36. This data shows that most respondents think that Islamic pawnshops can always fulfill their commitments to customers. The index results above indicate that the quality of service is generally moderate (68.11). Researchers have tried to summarize the respondent's view of what is being asked by the same or similar statements combined in one representative sentence, if it cannot be summarized or combined then it is presented as a separate point. Based on this process, the following qualitative descriptive can provide an overview of research findings regarding service quality variables. The result of Regression Weights for Structural Equation Modeling is 2.595 with a P value (Probability) of 0.09. These two values ​​indicate a result that meets the requirements, namely above 1.96 for CR (Critical Ratio) and below 0.05 for the P value (Probability). So it can be concluded that the hypothesis in this study is accepted.</w:t>
      </w:r>
    </w:p>
    <w:p w:rsidR="00A077B2" w:rsidRPr="00A077B2" w:rsidRDefault="00A077B2" w:rsidP="00A077B2">
      <w:pPr>
        <w:pStyle w:val="ListParagraph"/>
        <w:numPr>
          <w:ilvl w:val="0"/>
          <w:numId w:val="1"/>
        </w:numPr>
        <w:spacing w:after="0" w:line="360" w:lineRule="auto"/>
        <w:jc w:val="both"/>
        <w:rPr>
          <w:rFonts w:ascii="Times New Roman" w:eastAsia="Times New Roman" w:hAnsi="Times New Roman" w:cs="Times New Roman"/>
          <w:b/>
          <w:color w:val="000000"/>
          <w:sz w:val="24"/>
          <w:szCs w:val="24"/>
          <w:lang w:eastAsia="id-ID"/>
        </w:rPr>
      </w:pPr>
      <w:r w:rsidRPr="00A077B2">
        <w:rPr>
          <w:rFonts w:ascii="Times New Roman" w:eastAsia="Times New Roman" w:hAnsi="Times New Roman" w:cs="Times New Roman"/>
          <w:b/>
          <w:color w:val="000000"/>
          <w:sz w:val="24"/>
          <w:szCs w:val="24"/>
          <w:lang w:eastAsia="id-ID"/>
        </w:rPr>
        <w:t>C</w:t>
      </w:r>
      <w:r w:rsidR="001E319E">
        <w:rPr>
          <w:rFonts w:ascii="Times New Roman" w:eastAsia="Times New Roman" w:hAnsi="Times New Roman" w:cs="Times New Roman"/>
          <w:b/>
          <w:color w:val="000000"/>
          <w:sz w:val="24"/>
          <w:szCs w:val="24"/>
          <w:lang w:eastAsia="id-ID"/>
        </w:rPr>
        <w:t>losing</w:t>
      </w:r>
    </w:p>
    <w:p w:rsidR="00C658D5" w:rsidRDefault="00EC600A" w:rsidP="00EC600A">
      <w:pPr>
        <w:spacing w:after="0" w:line="360" w:lineRule="auto"/>
        <w:ind w:firstLine="720"/>
        <w:jc w:val="both"/>
        <w:rPr>
          <w:rFonts w:ascii="Times New Roman" w:eastAsia="Times New Roman" w:hAnsi="Times New Roman" w:cs="Times New Roman"/>
          <w:color w:val="000000"/>
          <w:sz w:val="24"/>
          <w:szCs w:val="24"/>
          <w:lang w:eastAsia="id-ID"/>
        </w:rPr>
      </w:pPr>
      <w:r w:rsidRPr="00EC600A">
        <w:rPr>
          <w:rFonts w:ascii="Times New Roman" w:eastAsia="Times New Roman" w:hAnsi="Times New Roman" w:cs="Times New Roman"/>
          <w:color w:val="000000"/>
          <w:sz w:val="24"/>
          <w:szCs w:val="24"/>
          <w:lang w:eastAsia="id-ID"/>
        </w:rPr>
        <w:t>The hypothesis proposed in this study is that service quality has a positive and significant effect on customer satisfaction. Based on the results of data analysis, this study has succeeded in proving and subsequently concluding that service quality has a positive effect on satisfaction, so that the higher the service quality, the higher the customer satisfaction. Furthermore, from the statement of this hypothesis, this study can conclude that; The hypothesis built in this study strengthens the justification of the previous research hypothesis, in which service quality affects customer satisfaction.</w:t>
      </w:r>
    </w:p>
    <w:p w:rsidR="001E319E" w:rsidRDefault="001E319E" w:rsidP="00EC600A">
      <w:pPr>
        <w:spacing w:after="0" w:line="360" w:lineRule="auto"/>
        <w:ind w:firstLine="720"/>
        <w:jc w:val="both"/>
        <w:rPr>
          <w:rFonts w:ascii="Times New Roman" w:eastAsia="Times New Roman" w:hAnsi="Times New Roman" w:cs="Times New Roman"/>
          <w:color w:val="000000"/>
          <w:sz w:val="24"/>
          <w:szCs w:val="24"/>
          <w:lang w:eastAsia="id-ID"/>
        </w:rPr>
      </w:pPr>
    </w:p>
    <w:p w:rsidR="001E319E" w:rsidRDefault="001E319E" w:rsidP="00EC600A">
      <w:pPr>
        <w:spacing w:after="0" w:line="360" w:lineRule="auto"/>
        <w:ind w:firstLine="720"/>
        <w:jc w:val="both"/>
        <w:rPr>
          <w:rFonts w:ascii="Times New Roman" w:eastAsia="Times New Roman" w:hAnsi="Times New Roman" w:cs="Times New Roman"/>
          <w:color w:val="000000"/>
          <w:sz w:val="24"/>
          <w:szCs w:val="24"/>
          <w:lang w:eastAsia="id-ID"/>
        </w:rPr>
      </w:pPr>
    </w:p>
    <w:p w:rsidR="001E319E" w:rsidRDefault="001E319E" w:rsidP="00EC600A">
      <w:pPr>
        <w:spacing w:after="0" w:line="360" w:lineRule="auto"/>
        <w:ind w:firstLine="720"/>
        <w:jc w:val="both"/>
        <w:rPr>
          <w:rFonts w:ascii="Times New Roman" w:eastAsia="Times New Roman" w:hAnsi="Times New Roman" w:cs="Times New Roman"/>
          <w:color w:val="000000"/>
          <w:sz w:val="24"/>
          <w:szCs w:val="24"/>
          <w:lang w:eastAsia="id-ID"/>
        </w:rPr>
      </w:pPr>
    </w:p>
    <w:p w:rsidR="001E319E" w:rsidRDefault="001E319E" w:rsidP="001E31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E319E" w:rsidRDefault="001E319E" w:rsidP="001E319E">
      <w:pPr>
        <w:spacing w:after="0" w:line="360" w:lineRule="auto"/>
        <w:rPr>
          <w:rFonts w:ascii="Times New Roman" w:hAnsi="Times New Roman" w:cs="Times New Roman"/>
          <w:b/>
          <w:sz w:val="24"/>
          <w:szCs w:val="24"/>
        </w:rPr>
      </w:pPr>
    </w:p>
    <w:p w:rsidR="001E319E" w:rsidRPr="00E50983" w:rsidRDefault="001E319E" w:rsidP="001E319E">
      <w:pPr>
        <w:autoSpaceDE w:val="0"/>
        <w:autoSpaceDN w:val="0"/>
        <w:adjustRightInd w:val="0"/>
        <w:spacing w:after="0" w:line="360" w:lineRule="auto"/>
        <w:ind w:left="1080" w:hanging="1080"/>
        <w:jc w:val="both"/>
        <w:rPr>
          <w:rFonts w:ascii="Times New Roman" w:hAnsi="Times New Roman" w:cs="Times New Roman"/>
          <w:sz w:val="24"/>
          <w:szCs w:val="24"/>
        </w:rPr>
      </w:pPr>
      <w:r w:rsidRPr="005448C8">
        <w:rPr>
          <w:rFonts w:asciiTheme="majorBidi" w:hAnsiTheme="majorBidi" w:cstheme="majorBidi"/>
          <w:sz w:val="24"/>
          <w:szCs w:val="24"/>
        </w:rPr>
        <w:t xml:space="preserve">Adriyan Sutedi, </w:t>
      </w:r>
      <w:r w:rsidRPr="005448C8">
        <w:rPr>
          <w:rFonts w:asciiTheme="majorBidi" w:hAnsiTheme="majorBidi" w:cstheme="majorBidi"/>
          <w:i/>
          <w:sz w:val="24"/>
          <w:szCs w:val="24"/>
        </w:rPr>
        <w:t>Hukum Gadai Syariah</w:t>
      </w:r>
      <w:r>
        <w:rPr>
          <w:rFonts w:asciiTheme="majorBidi" w:hAnsiTheme="majorBidi" w:cstheme="majorBidi"/>
          <w:sz w:val="24"/>
          <w:szCs w:val="24"/>
        </w:rPr>
        <w:t xml:space="preserve">, </w:t>
      </w:r>
      <w:r w:rsidRPr="005448C8">
        <w:rPr>
          <w:rFonts w:asciiTheme="majorBidi" w:hAnsiTheme="majorBidi" w:cstheme="majorBidi"/>
          <w:sz w:val="24"/>
          <w:szCs w:val="24"/>
        </w:rPr>
        <w:t>Bandung: CV.Alvabeta, 2011</w:t>
      </w:r>
      <w:r>
        <w:rPr>
          <w:rFonts w:asciiTheme="majorBidi" w:hAnsiTheme="majorBidi" w:cstheme="majorBidi"/>
          <w:sz w:val="24"/>
          <w:szCs w:val="24"/>
        </w:rPr>
        <w:t>.</w:t>
      </w:r>
    </w:p>
    <w:p w:rsidR="001E319E" w:rsidRDefault="001E319E" w:rsidP="001E319E">
      <w:pPr>
        <w:autoSpaceDE w:val="0"/>
        <w:autoSpaceDN w:val="0"/>
        <w:adjustRightInd w:val="0"/>
        <w:spacing w:after="0" w:line="36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Agus Sulastiyono, </w:t>
      </w:r>
      <w:r w:rsidRPr="005448C8">
        <w:rPr>
          <w:rFonts w:ascii="Times New Roman" w:hAnsi="Times New Roman" w:cs="Times New Roman"/>
          <w:i/>
          <w:sz w:val="24"/>
          <w:szCs w:val="24"/>
        </w:rPr>
        <w:t>Manajemen Penyelenggaraan Hotel</w:t>
      </w:r>
      <w:r>
        <w:rPr>
          <w:rFonts w:ascii="Times New Roman" w:hAnsi="Times New Roman" w:cs="Times New Roman"/>
          <w:sz w:val="24"/>
          <w:szCs w:val="24"/>
        </w:rPr>
        <w:t>. Bandung: Alfabeta, 2008.</w:t>
      </w:r>
    </w:p>
    <w:p w:rsidR="001E319E" w:rsidRDefault="001E319E" w:rsidP="001E319E">
      <w:pPr>
        <w:autoSpaceDE w:val="0"/>
        <w:autoSpaceDN w:val="0"/>
        <w:adjustRightInd w:val="0"/>
        <w:spacing w:after="0" w:line="36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Ariani Wahyu D, </w:t>
      </w:r>
      <w:r w:rsidRPr="005448C8">
        <w:rPr>
          <w:rFonts w:ascii="Times New Roman" w:hAnsi="Times New Roman" w:cs="Times New Roman"/>
          <w:i/>
          <w:sz w:val="24"/>
          <w:szCs w:val="24"/>
        </w:rPr>
        <w:t>Manajemen Operasi Jasa</w:t>
      </w:r>
      <w:r>
        <w:rPr>
          <w:rFonts w:ascii="Times New Roman" w:hAnsi="Times New Roman" w:cs="Times New Roman"/>
          <w:sz w:val="24"/>
          <w:szCs w:val="24"/>
        </w:rPr>
        <w:t>, Yogyakarta: Graha Ilmu, 2009.</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Cronin, J. Joseph Jr. dan Taylor, Steven. 1992. “Measuring Service Quality :Reex Amination and Extension” </w:t>
      </w:r>
      <w:r>
        <w:rPr>
          <w:rFonts w:ascii="Times New Roman" w:hAnsi="Times New Roman" w:cs="Times New Roman"/>
          <w:sz w:val="24"/>
          <w:szCs w:val="24"/>
        </w:rPr>
        <w:t>Journal of Marketing.Vol. 56.</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Dash, Satyabhusan., Ed</w:t>
      </w:r>
      <w:r>
        <w:rPr>
          <w:rFonts w:ascii="Times New Roman" w:hAnsi="Times New Roman" w:cs="Times New Roman"/>
          <w:sz w:val="24"/>
          <w:szCs w:val="24"/>
        </w:rPr>
        <w:t xml:space="preserve"> Bruning., and, Kalyan Ku Guin, 2006.</w:t>
      </w:r>
      <w:r w:rsidRPr="005448C8">
        <w:rPr>
          <w:rFonts w:ascii="Times New Roman" w:hAnsi="Times New Roman" w:cs="Times New Roman"/>
          <w:sz w:val="24"/>
          <w:szCs w:val="24"/>
        </w:rPr>
        <w:t xml:space="preserve"> " The Moderating Effect Of Power Distance On Perceived Interdependence And Relationship Quality In Commercial Banking ", </w:t>
      </w:r>
      <w:r w:rsidRPr="005448C8">
        <w:rPr>
          <w:rFonts w:ascii="Times New Roman" w:hAnsi="Times New Roman" w:cs="Times New Roman"/>
          <w:i/>
          <w:iCs/>
          <w:sz w:val="24"/>
          <w:szCs w:val="24"/>
        </w:rPr>
        <w:t>International Journal of Bank Marketing</w:t>
      </w:r>
      <w:r w:rsidRPr="005448C8">
        <w:rPr>
          <w:rFonts w:ascii="Times New Roman" w:hAnsi="Times New Roman" w:cs="Times New Roman"/>
          <w:sz w:val="24"/>
          <w:szCs w:val="24"/>
        </w:rPr>
        <w:t xml:space="preserve">, </w:t>
      </w:r>
      <w:r>
        <w:rPr>
          <w:rFonts w:ascii="Times New Roman" w:hAnsi="Times New Roman" w:cs="Times New Roman"/>
          <w:sz w:val="24"/>
          <w:szCs w:val="24"/>
        </w:rPr>
        <w:t>Vol. 21, No. 5.</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heme="majorBidi" w:hAnsiTheme="majorBidi" w:cstheme="majorBidi"/>
          <w:sz w:val="24"/>
          <w:szCs w:val="24"/>
        </w:rPr>
        <w:t xml:space="preserve">Faesal Badroen, </w:t>
      </w:r>
      <w:r w:rsidRPr="005448C8">
        <w:rPr>
          <w:rFonts w:asciiTheme="majorBidi" w:hAnsiTheme="majorBidi" w:cstheme="majorBidi"/>
          <w:i/>
          <w:sz w:val="24"/>
          <w:szCs w:val="24"/>
        </w:rPr>
        <w:t>Etika Bisnis Dalam Islam</w:t>
      </w:r>
      <w:r>
        <w:rPr>
          <w:rFonts w:asciiTheme="majorBidi" w:hAnsiTheme="majorBidi" w:cstheme="majorBidi"/>
          <w:sz w:val="24"/>
          <w:szCs w:val="24"/>
        </w:rPr>
        <w:t xml:space="preserve">, </w:t>
      </w:r>
      <w:r w:rsidRPr="005448C8">
        <w:rPr>
          <w:rFonts w:asciiTheme="majorBidi" w:hAnsiTheme="majorBidi" w:cstheme="majorBidi"/>
          <w:sz w:val="24"/>
          <w:szCs w:val="24"/>
        </w:rPr>
        <w:t>Jakarta: Kencana.2007</w:t>
      </w:r>
      <w:r>
        <w:rPr>
          <w:rFonts w:asciiTheme="majorBidi" w:hAnsiTheme="majorBidi" w:cstheme="majorBidi"/>
          <w:sz w:val="24"/>
          <w:szCs w:val="24"/>
        </w:rPr>
        <w:t>.</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heme="majorBidi" w:hAnsiTheme="majorBidi" w:cstheme="majorBidi"/>
          <w:sz w:val="24"/>
          <w:szCs w:val="24"/>
        </w:rPr>
        <w:t>Fatwa MUI No. 25/DSN-MUI/III/2002</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G. Armstrong and P. Kotler, </w:t>
      </w:r>
      <w:r w:rsidRPr="005448C8">
        <w:rPr>
          <w:rFonts w:ascii="Times New Roman" w:hAnsi="Times New Roman" w:cs="Times New Roman"/>
          <w:i/>
          <w:iCs/>
          <w:sz w:val="24"/>
          <w:szCs w:val="24"/>
        </w:rPr>
        <w:t>Marketing: An Introduction</w:t>
      </w:r>
      <w:r>
        <w:rPr>
          <w:rFonts w:ascii="Times New Roman" w:hAnsi="Times New Roman" w:cs="Times New Roman"/>
          <w:sz w:val="24"/>
          <w:szCs w:val="24"/>
        </w:rPr>
        <w:t xml:space="preserve">, </w:t>
      </w:r>
      <w:r w:rsidRPr="005448C8">
        <w:rPr>
          <w:rFonts w:ascii="Times New Roman" w:hAnsi="Times New Roman" w:cs="Times New Roman"/>
          <w:sz w:val="24"/>
          <w:szCs w:val="24"/>
        </w:rPr>
        <w:t>Pearson Education, Upper Saddle River, NJ,</w:t>
      </w:r>
      <w:r>
        <w:rPr>
          <w:rFonts w:ascii="Times New Roman" w:hAnsi="Times New Roman" w:cs="Times New Roman"/>
          <w:sz w:val="24"/>
          <w:szCs w:val="24"/>
        </w:rPr>
        <w:t xml:space="preserve"> USA, 10th edition, 2011.</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Gounaris, Spiros P., Vlassis Stathakopoulos., and, Antreas D. Athanassopoulos</w:t>
      </w:r>
      <w:r>
        <w:rPr>
          <w:rFonts w:ascii="Times New Roman" w:hAnsi="Times New Roman" w:cs="Times New Roman"/>
          <w:sz w:val="24"/>
          <w:szCs w:val="24"/>
        </w:rPr>
        <w:t>, 2003.</w:t>
      </w:r>
      <w:r w:rsidRPr="005448C8">
        <w:rPr>
          <w:rFonts w:ascii="Times New Roman" w:hAnsi="Times New Roman" w:cs="Times New Roman"/>
          <w:sz w:val="24"/>
          <w:szCs w:val="24"/>
        </w:rPr>
        <w:t xml:space="preserve">" Antecedents to Perceived Service Quality: An Exploratory Study In The Banking Industry ", </w:t>
      </w:r>
      <w:r w:rsidRPr="005448C8">
        <w:rPr>
          <w:rFonts w:ascii="Times New Roman" w:hAnsi="Times New Roman" w:cs="Times New Roman"/>
          <w:i/>
          <w:iCs/>
          <w:sz w:val="24"/>
          <w:szCs w:val="24"/>
        </w:rPr>
        <w:t>International Journal of Bank Marketing</w:t>
      </w:r>
      <w:r w:rsidRPr="005448C8">
        <w:rPr>
          <w:rFonts w:ascii="Times New Roman" w:hAnsi="Times New Roman" w:cs="Times New Roman"/>
          <w:sz w:val="24"/>
          <w:szCs w:val="24"/>
        </w:rPr>
        <w:t xml:space="preserve">, Vol. 21 No. </w:t>
      </w:r>
      <w:r>
        <w:rPr>
          <w:rFonts w:ascii="Times New Roman" w:hAnsi="Times New Roman" w:cs="Times New Roman"/>
          <w:sz w:val="24"/>
          <w:szCs w:val="24"/>
        </w:rPr>
        <w:t>4.</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heme="majorBidi" w:hAnsiTheme="majorBidi" w:cstheme="majorBidi"/>
          <w:sz w:val="24"/>
          <w:szCs w:val="24"/>
        </w:rPr>
        <w:t xml:space="preserve">Habiburrahim, </w:t>
      </w:r>
      <w:r w:rsidRPr="005448C8">
        <w:rPr>
          <w:rFonts w:asciiTheme="majorBidi" w:hAnsiTheme="majorBidi" w:cstheme="majorBidi"/>
          <w:i/>
          <w:iCs/>
          <w:sz w:val="24"/>
          <w:szCs w:val="24"/>
        </w:rPr>
        <w:t xml:space="preserve">Buku Saku Pegadaian Syariah. </w:t>
      </w:r>
      <w:r w:rsidRPr="005448C8">
        <w:rPr>
          <w:rFonts w:asciiTheme="majorBidi" w:hAnsiTheme="majorBidi" w:cstheme="majorBidi"/>
          <w:sz w:val="24"/>
          <w:szCs w:val="24"/>
        </w:rPr>
        <w:t>Jakarta Timur: Kuwais, 2012</w:t>
      </w:r>
      <w:r>
        <w:rPr>
          <w:rFonts w:asciiTheme="majorBidi" w:hAnsiTheme="majorBidi" w:cstheme="majorBidi"/>
          <w:sz w:val="24"/>
          <w:szCs w:val="24"/>
        </w:rPr>
        <w:t>.</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Hani ‘Arab, </w:t>
      </w:r>
      <w:r w:rsidRPr="005448C8">
        <w:rPr>
          <w:rFonts w:ascii="Times New Roman" w:hAnsi="Times New Roman" w:cs="Times New Roman"/>
          <w:i/>
          <w:iCs/>
          <w:sz w:val="24"/>
          <w:szCs w:val="24"/>
        </w:rPr>
        <w:t xml:space="preserve">Maharats At-Tafkir Wa Al-Bahts Al-‘Ilmi, </w:t>
      </w:r>
      <w:r w:rsidRPr="005448C8">
        <w:rPr>
          <w:rFonts w:ascii="Times New Roman" w:hAnsi="Times New Roman" w:cs="Times New Roman"/>
          <w:sz w:val="24"/>
          <w:szCs w:val="24"/>
        </w:rPr>
        <w:t>tt: Rendezvous Sientific Researches, 2009</w:t>
      </w:r>
      <w:r>
        <w:rPr>
          <w:rFonts w:ascii="Times New Roman" w:hAnsi="Times New Roman" w:cs="Times New Roman"/>
          <w:sz w:val="24"/>
          <w:szCs w:val="24"/>
        </w:rPr>
        <w:t>.</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Herry Ahmad Buchory dan Djaslim Saladin, </w:t>
      </w:r>
      <w:r w:rsidRPr="005448C8">
        <w:rPr>
          <w:rFonts w:ascii="Times New Roman" w:hAnsi="Times New Roman" w:cs="Times New Roman"/>
          <w:i/>
          <w:sz w:val="24"/>
          <w:szCs w:val="24"/>
        </w:rPr>
        <w:t>Dasar-Dasar Pemasaran Bank</w:t>
      </w:r>
      <w:r w:rsidRPr="005448C8">
        <w:rPr>
          <w:rFonts w:ascii="Times New Roman" w:hAnsi="Times New Roman" w:cs="Times New Roman"/>
          <w:sz w:val="24"/>
          <w:szCs w:val="24"/>
        </w:rPr>
        <w:t>, (Bandung: Linda Karya, 20</w:t>
      </w:r>
      <w:r>
        <w:rPr>
          <w:rFonts w:ascii="Times New Roman" w:hAnsi="Times New Roman" w:cs="Times New Roman"/>
          <w:sz w:val="24"/>
          <w:szCs w:val="24"/>
        </w:rPr>
        <w:t>06.</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Herry Sutanto dan Khaerul Umam, </w:t>
      </w:r>
      <w:r w:rsidRPr="005448C8">
        <w:rPr>
          <w:rFonts w:ascii="Times New Roman" w:hAnsi="Times New Roman" w:cs="Times New Roman"/>
          <w:i/>
          <w:sz w:val="24"/>
          <w:szCs w:val="24"/>
        </w:rPr>
        <w:t>Manajemen Pemasaran Bank Syariah</w:t>
      </w:r>
      <w:r>
        <w:rPr>
          <w:rFonts w:ascii="Times New Roman" w:hAnsi="Times New Roman" w:cs="Times New Roman"/>
          <w:sz w:val="24"/>
          <w:szCs w:val="24"/>
        </w:rPr>
        <w:t xml:space="preserve">. </w:t>
      </w:r>
      <w:r w:rsidRPr="005448C8">
        <w:rPr>
          <w:rFonts w:ascii="Times New Roman" w:hAnsi="Times New Roman" w:cs="Times New Roman"/>
          <w:sz w:val="24"/>
          <w:szCs w:val="24"/>
        </w:rPr>
        <w:t>Bandung: Pustaka Setia, 2013</w:t>
      </w:r>
    </w:p>
    <w:p w:rsidR="001E319E" w:rsidRDefault="00EC7B77" w:rsidP="001E319E">
      <w:pPr>
        <w:autoSpaceDE w:val="0"/>
        <w:autoSpaceDN w:val="0"/>
        <w:adjustRightInd w:val="0"/>
        <w:spacing w:after="120" w:line="240" w:lineRule="auto"/>
        <w:ind w:left="1080" w:hanging="1080"/>
        <w:jc w:val="both"/>
        <w:rPr>
          <w:rFonts w:ascii="Times New Roman" w:hAnsi="Times New Roman" w:cs="Times New Roman"/>
          <w:sz w:val="24"/>
          <w:szCs w:val="24"/>
        </w:rPr>
      </w:pPr>
      <w:hyperlink r:id="rId11" w:history="1">
        <w:r w:rsidR="001E319E" w:rsidRPr="005448C8">
          <w:rPr>
            <w:rStyle w:val="Hyperlink"/>
            <w:rFonts w:ascii="Times New Roman" w:hAnsi="Times New Roman" w:cs="Times New Roman"/>
            <w:sz w:val="24"/>
            <w:szCs w:val="24"/>
          </w:rPr>
          <w:t>http://www.ojk.go.id/id/regulasi/otoritas-jasa-keuangan/peraturan ojk/POJK-Usaha-Pergadaian.pdf</w:t>
        </w:r>
      </w:hyperlink>
    </w:p>
    <w:p w:rsidR="001E319E" w:rsidRDefault="00EC7B77" w:rsidP="001E319E">
      <w:pPr>
        <w:autoSpaceDE w:val="0"/>
        <w:autoSpaceDN w:val="0"/>
        <w:adjustRightInd w:val="0"/>
        <w:spacing w:after="120" w:line="240" w:lineRule="auto"/>
        <w:ind w:left="1080" w:hanging="1080"/>
        <w:jc w:val="both"/>
        <w:rPr>
          <w:rFonts w:ascii="Times New Roman" w:hAnsi="Times New Roman" w:cs="Times New Roman"/>
          <w:sz w:val="24"/>
          <w:szCs w:val="24"/>
        </w:rPr>
      </w:pPr>
      <w:hyperlink r:id="rId12" w:history="1">
        <w:r w:rsidR="001E319E" w:rsidRPr="005448C8">
          <w:rPr>
            <w:rStyle w:val="Hyperlink"/>
            <w:rFonts w:ascii="Times New Roman" w:hAnsi="Times New Roman" w:cs="Times New Roman"/>
            <w:sz w:val="24"/>
            <w:szCs w:val="24"/>
          </w:rPr>
          <w:t>https://www.ojk.go.id/id/kanal/iknb/datadan-statistik</w:t>
        </w:r>
      </w:hyperlink>
      <w:r w:rsidR="001E319E" w:rsidRPr="005448C8">
        <w:rPr>
          <w:rFonts w:ascii="Times New Roman" w:hAnsi="Times New Roman" w:cs="Times New Roman"/>
          <w:sz w:val="24"/>
          <w:szCs w:val="24"/>
        </w:rPr>
        <w:t xml:space="preserve"> 29 Mei 2019. Diakses pada tanggal 29 Juni 2019</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Inggang Perwangsa, Nuraalam,  </w:t>
      </w:r>
      <w:r w:rsidRPr="005448C8">
        <w:rPr>
          <w:rFonts w:ascii="Times New Roman" w:hAnsi="Times New Roman" w:cs="Times New Roman"/>
          <w:i/>
          <w:sz w:val="24"/>
          <w:szCs w:val="24"/>
        </w:rPr>
        <w:t>Manajemen Hubungan Pelanggan Perbankan Syariah Indonesia</w:t>
      </w:r>
      <w:r w:rsidRPr="005448C8">
        <w:rPr>
          <w:rFonts w:ascii="Times New Roman" w:hAnsi="Times New Roman" w:cs="Times New Roman"/>
          <w:sz w:val="24"/>
          <w:szCs w:val="24"/>
        </w:rPr>
        <w:t>.</w:t>
      </w:r>
      <w:r>
        <w:rPr>
          <w:rFonts w:ascii="Times New Roman" w:hAnsi="Times New Roman" w:cs="Times New Roman"/>
          <w:sz w:val="24"/>
          <w:szCs w:val="24"/>
        </w:rPr>
        <w:t xml:space="preserve"> </w:t>
      </w:r>
      <w:r w:rsidRPr="005448C8">
        <w:rPr>
          <w:rFonts w:ascii="Times New Roman" w:hAnsi="Times New Roman" w:cs="Times New Roman"/>
          <w:sz w:val="24"/>
          <w:szCs w:val="24"/>
        </w:rPr>
        <w:t>Sleman : CV Budi Utama, 2018</w:t>
      </w:r>
      <w:r>
        <w:rPr>
          <w:rFonts w:ascii="Times New Roman" w:hAnsi="Times New Roman" w:cs="Times New Roman"/>
          <w:sz w:val="24"/>
          <w:szCs w:val="24"/>
        </w:rPr>
        <w:t>.</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Irawan Handi, 10 </w:t>
      </w:r>
      <w:r w:rsidRPr="005448C8">
        <w:rPr>
          <w:rFonts w:ascii="Times New Roman" w:hAnsi="Times New Roman" w:cs="Times New Roman"/>
          <w:i/>
          <w:sz w:val="24"/>
          <w:szCs w:val="24"/>
        </w:rPr>
        <w:t xml:space="preserve">Prinsip Kepuasan Pelanggan, </w:t>
      </w:r>
      <w:r w:rsidRPr="005448C8">
        <w:rPr>
          <w:rFonts w:ascii="Times New Roman" w:hAnsi="Times New Roman" w:cs="Times New Roman"/>
          <w:sz w:val="24"/>
          <w:szCs w:val="24"/>
        </w:rPr>
        <w:t xml:space="preserve"> </w:t>
      </w:r>
      <w:r>
        <w:rPr>
          <w:rFonts w:ascii="Times New Roman" w:hAnsi="Times New Roman" w:cs="Times New Roman"/>
          <w:sz w:val="24"/>
          <w:szCs w:val="24"/>
        </w:rPr>
        <w:t>Jakarta: Elex Media, 2007.</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Jones, Tim., and, Shirley F. Taylor</w:t>
      </w:r>
      <w:r>
        <w:rPr>
          <w:rFonts w:ascii="Times New Roman" w:hAnsi="Times New Roman" w:cs="Times New Roman"/>
          <w:sz w:val="24"/>
          <w:szCs w:val="24"/>
        </w:rPr>
        <w:t>, 2007.</w:t>
      </w:r>
      <w:r w:rsidRPr="005448C8">
        <w:rPr>
          <w:rFonts w:ascii="Times New Roman" w:hAnsi="Times New Roman" w:cs="Times New Roman"/>
          <w:sz w:val="24"/>
          <w:szCs w:val="24"/>
        </w:rPr>
        <w:t xml:space="preserve"> " The Conceptual Domain Of Service Loyalty: How Many Dimensions ", </w:t>
      </w:r>
      <w:r w:rsidRPr="005448C8">
        <w:rPr>
          <w:rFonts w:ascii="Times New Roman" w:hAnsi="Times New Roman" w:cs="Times New Roman"/>
          <w:i/>
          <w:iCs/>
          <w:sz w:val="24"/>
          <w:szCs w:val="24"/>
        </w:rPr>
        <w:t>Journal of Service Marketing</w:t>
      </w:r>
      <w:r w:rsidRPr="005448C8">
        <w:rPr>
          <w:rFonts w:ascii="Times New Roman" w:hAnsi="Times New Roman" w:cs="Times New Roman"/>
          <w:sz w:val="24"/>
          <w:szCs w:val="24"/>
        </w:rPr>
        <w:t>, Vol. 21 No. 1</w:t>
      </w:r>
      <w:r>
        <w:rPr>
          <w:rFonts w:ascii="Times New Roman" w:hAnsi="Times New Roman" w:cs="Times New Roman"/>
          <w:sz w:val="24"/>
          <w:szCs w:val="24"/>
        </w:rPr>
        <w:t>.</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Kang, Gi-Du, "The Hierarchical Structure Of Service Quality: Integration Of Technical And Functional Quality", </w:t>
      </w:r>
      <w:r w:rsidRPr="005448C8">
        <w:rPr>
          <w:rFonts w:ascii="Times New Roman" w:hAnsi="Times New Roman" w:cs="Times New Roman"/>
          <w:i/>
          <w:iCs/>
          <w:sz w:val="24"/>
          <w:szCs w:val="24"/>
        </w:rPr>
        <w:t>Managing Service Quality</w:t>
      </w:r>
      <w:r w:rsidRPr="005448C8">
        <w:rPr>
          <w:rFonts w:ascii="Times New Roman" w:hAnsi="Times New Roman" w:cs="Times New Roman"/>
          <w:sz w:val="24"/>
          <w:szCs w:val="24"/>
        </w:rPr>
        <w:t>, vol. 16 No. 1, 2006</w:t>
      </w:r>
      <w:r>
        <w:rPr>
          <w:rFonts w:ascii="Times New Roman" w:hAnsi="Times New Roman" w:cs="Times New Roman"/>
          <w:sz w:val="24"/>
          <w:szCs w:val="24"/>
        </w:rPr>
        <w:t>.</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Kasim, Mohd Norizan., and Abdel Kader Mohammed Ahmed Abdulla (2006) " The Influence Of Attraction On Internet Banking: An Extension To The Trustrelationship Commitment Model ", </w:t>
      </w:r>
      <w:r w:rsidRPr="005448C8">
        <w:rPr>
          <w:rFonts w:ascii="Times New Roman" w:hAnsi="Times New Roman" w:cs="Times New Roman"/>
          <w:i/>
          <w:iCs/>
          <w:sz w:val="24"/>
          <w:szCs w:val="24"/>
        </w:rPr>
        <w:t>International Journal of Bank Marketing</w:t>
      </w:r>
      <w:r>
        <w:rPr>
          <w:rFonts w:ascii="Times New Roman" w:hAnsi="Times New Roman" w:cs="Times New Roman"/>
          <w:sz w:val="24"/>
          <w:szCs w:val="24"/>
        </w:rPr>
        <w:t>, Vol. 24 No. 6.</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lastRenderedPageBreak/>
        <w:t xml:space="preserve">Kotler, Philip. dan Keller, Kevin Lane. </w:t>
      </w:r>
      <w:r w:rsidRPr="005448C8">
        <w:rPr>
          <w:rFonts w:ascii="Times New Roman" w:hAnsi="Times New Roman" w:cs="Times New Roman"/>
          <w:i/>
          <w:iCs/>
          <w:sz w:val="24"/>
          <w:szCs w:val="24"/>
        </w:rPr>
        <w:t>Manajemen Pemasaran</w:t>
      </w:r>
      <w:r w:rsidRPr="005448C8">
        <w:rPr>
          <w:rFonts w:ascii="Times New Roman" w:hAnsi="Times New Roman" w:cs="Times New Roman"/>
          <w:sz w:val="24"/>
          <w:szCs w:val="24"/>
        </w:rPr>
        <w:t>. Jilid 1dan 2. Ja</w:t>
      </w:r>
      <w:r>
        <w:rPr>
          <w:rFonts w:ascii="Times New Roman" w:hAnsi="Times New Roman" w:cs="Times New Roman"/>
          <w:sz w:val="24"/>
          <w:szCs w:val="24"/>
        </w:rPr>
        <w:t>karta: PT Indeks, 2007.</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Kotler, Phillip  &amp; Garry Armstrong, </w:t>
      </w:r>
      <w:r w:rsidRPr="005448C8">
        <w:rPr>
          <w:rFonts w:ascii="Times New Roman" w:hAnsi="Times New Roman" w:cs="Times New Roman"/>
          <w:i/>
          <w:sz w:val="24"/>
          <w:szCs w:val="24"/>
        </w:rPr>
        <w:t>Principles of Marketing</w:t>
      </w:r>
      <w:r>
        <w:rPr>
          <w:rFonts w:ascii="Times New Roman" w:hAnsi="Times New Roman" w:cs="Times New Roman"/>
          <w:sz w:val="24"/>
          <w:szCs w:val="24"/>
        </w:rPr>
        <w:t xml:space="preserve">. 11 th Edition, </w:t>
      </w:r>
      <w:r w:rsidRPr="005448C8">
        <w:rPr>
          <w:rFonts w:ascii="Times New Roman" w:hAnsi="Times New Roman" w:cs="Times New Roman"/>
          <w:sz w:val="24"/>
          <w:szCs w:val="24"/>
        </w:rPr>
        <w:t xml:space="preserve">Prentice Hall International Inc. New Jersey. </w:t>
      </w:r>
      <w:r>
        <w:rPr>
          <w:rFonts w:ascii="Times New Roman" w:hAnsi="Times New Roman" w:cs="Times New Roman"/>
          <w:sz w:val="24"/>
          <w:szCs w:val="24"/>
        </w:rPr>
        <w:t>2006.</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Lovelock, et. al., </w:t>
      </w:r>
      <w:r w:rsidRPr="005448C8">
        <w:rPr>
          <w:rFonts w:ascii="Times New Roman" w:hAnsi="Times New Roman" w:cs="Times New Roman"/>
          <w:i/>
          <w:sz w:val="24"/>
          <w:szCs w:val="24"/>
        </w:rPr>
        <w:t>Pemasaran Jasa Manusia, Teknologi, dan Strategi</w:t>
      </w:r>
      <w:r>
        <w:rPr>
          <w:rFonts w:ascii="Times New Roman" w:hAnsi="Times New Roman" w:cs="Times New Roman"/>
          <w:sz w:val="24"/>
          <w:szCs w:val="24"/>
        </w:rPr>
        <w:t xml:space="preserve">. </w:t>
      </w:r>
      <w:r w:rsidRPr="005448C8">
        <w:rPr>
          <w:rFonts w:ascii="Times New Roman" w:hAnsi="Times New Roman" w:cs="Times New Roman"/>
          <w:sz w:val="24"/>
          <w:szCs w:val="24"/>
        </w:rPr>
        <w:t>J</w:t>
      </w:r>
      <w:r>
        <w:rPr>
          <w:rFonts w:ascii="Times New Roman" w:hAnsi="Times New Roman" w:cs="Times New Roman"/>
          <w:sz w:val="24"/>
          <w:szCs w:val="24"/>
        </w:rPr>
        <w:t>akarta: Erlangga, 2010.</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Moenir, </w:t>
      </w:r>
      <w:r w:rsidRPr="005448C8">
        <w:rPr>
          <w:rFonts w:ascii="Times New Roman" w:hAnsi="Times New Roman" w:cs="Times New Roman"/>
          <w:i/>
          <w:sz w:val="24"/>
          <w:szCs w:val="24"/>
        </w:rPr>
        <w:t>Manajemen Pelayanan Umum Di Indonesia</w:t>
      </w:r>
      <w:r>
        <w:rPr>
          <w:rFonts w:ascii="Times New Roman" w:hAnsi="Times New Roman" w:cs="Times New Roman"/>
          <w:sz w:val="24"/>
          <w:szCs w:val="24"/>
        </w:rPr>
        <w:t xml:space="preserve">, </w:t>
      </w:r>
      <w:r w:rsidRPr="005448C8">
        <w:rPr>
          <w:rFonts w:ascii="Times New Roman" w:hAnsi="Times New Roman" w:cs="Times New Roman"/>
          <w:sz w:val="24"/>
          <w:szCs w:val="24"/>
        </w:rPr>
        <w:t>Jakarta, Bumi Aksara</w:t>
      </w:r>
      <w:r>
        <w:rPr>
          <w:rFonts w:ascii="Times New Roman" w:hAnsi="Times New Roman" w:cs="Times New Roman"/>
          <w:sz w:val="24"/>
          <w:szCs w:val="24"/>
        </w:rPr>
        <w:t>, 2002.</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Moh Nazir, </w:t>
      </w:r>
      <w:r w:rsidRPr="005448C8">
        <w:rPr>
          <w:rFonts w:ascii="Times New Roman" w:hAnsi="Times New Roman" w:cs="Times New Roman"/>
          <w:i/>
          <w:sz w:val="24"/>
          <w:szCs w:val="24"/>
        </w:rPr>
        <w:t>Metode Penelitian</w:t>
      </w:r>
      <w:r>
        <w:rPr>
          <w:rFonts w:ascii="Times New Roman" w:hAnsi="Times New Roman" w:cs="Times New Roman"/>
          <w:sz w:val="24"/>
          <w:szCs w:val="24"/>
        </w:rPr>
        <w:t xml:space="preserve">. </w:t>
      </w:r>
      <w:r w:rsidRPr="005448C8">
        <w:rPr>
          <w:rFonts w:ascii="Times New Roman" w:hAnsi="Times New Roman" w:cs="Times New Roman"/>
          <w:sz w:val="24"/>
          <w:szCs w:val="24"/>
        </w:rPr>
        <w:t>Bogor: Ghalia Indonesia, 2005</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Payne, A, </w:t>
      </w:r>
      <w:r w:rsidRPr="005448C8">
        <w:rPr>
          <w:rFonts w:ascii="Times New Roman" w:hAnsi="Times New Roman" w:cs="Times New Roman"/>
          <w:i/>
          <w:iCs/>
          <w:sz w:val="24"/>
          <w:szCs w:val="24"/>
        </w:rPr>
        <w:t xml:space="preserve">Handbook Of CRM: Achieving Excellence in Customer Management. </w:t>
      </w:r>
      <w:r w:rsidRPr="005448C8">
        <w:rPr>
          <w:rFonts w:ascii="Times New Roman" w:hAnsi="Times New Roman" w:cs="Times New Roman"/>
          <w:sz w:val="24"/>
          <w:szCs w:val="24"/>
        </w:rPr>
        <w:t>Great Britain: Elsevier Ltd. 2008</w:t>
      </w:r>
      <w:r>
        <w:rPr>
          <w:rFonts w:ascii="Times New Roman" w:hAnsi="Times New Roman" w:cs="Times New Roman"/>
          <w:sz w:val="24"/>
          <w:szCs w:val="24"/>
        </w:rPr>
        <w:t>.</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heme="majorBidi" w:hAnsiTheme="majorBidi" w:cstheme="majorBidi"/>
          <w:sz w:val="24"/>
          <w:szCs w:val="24"/>
        </w:rPr>
        <w:t>Peraturan Otoritas Jasa Keuangan Nomor 31 /POJK.05/2016 Tentang Usaha Pergadaian</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heme="majorBidi" w:hAnsiTheme="majorBidi" w:cstheme="majorBidi"/>
          <w:sz w:val="24"/>
          <w:szCs w:val="24"/>
        </w:rPr>
        <w:t>Peraturan Pemerintah Republik Indonesianomor 103 Tahun 2000 tentang perusahaan Umum (Perum) Pegadaian</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Philip Khotler,dkk</w:t>
      </w:r>
      <w:r w:rsidRPr="005448C8">
        <w:rPr>
          <w:rFonts w:ascii="Times New Roman" w:hAnsi="Times New Roman" w:cs="Times New Roman"/>
          <w:i/>
          <w:sz w:val="24"/>
          <w:szCs w:val="24"/>
        </w:rPr>
        <w:t>, Dasar-Dasar Pemasaran</w:t>
      </w:r>
      <w:r w:rsidRPr="005448C8">
        <w:rPr>
          <w:rFonts w:ascii="Times New Roman" w:hAnsi="Times New Roman" w:cs="Times New Roman"/>
          <w:sz w:val="24"/>
          <w:szCs w:val="24"/>
        </w:rPr>
        <w:t>,</w:t>
      </w:r>
      <w:r>
        <w:rPr>
          <w:rFonts w:ascii="Times New Roman" w:hAnsi="Times New Roman" w:cs="Times New Roman"/>
          <w:sz w:val="24"/>
          <w:szCs w:val="24"/>
        </w:rPr>
        <w:t xml:space="preserve"> Jakarta: Indonesia, 1996.</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Sari dan Irine Diana. </w:t>
      </w:r>
      <w:r w:rsidRPr="005448C8">
        <w:rPr>
          <w:rFonts w:ascii="Times New Roman" w:hAnsi="Times New Roman" w:cs="Times New Roman"/>
          <w:i/>
          <w:sz w:val="24"/>
          <w:szCs w:val="24"/>
        </w:rPr>
        <w:t>Manajemen Pemasaran Usaha Kesehatan</w:t>
      </w:r>
      <w:r>
        <w:rPr>
          <w:rFonts w:ascii="Times New Roman" w:hAnsi="Times New Roman" w:cs="Times New Roman"/>
          <w:sz w:val="24"/>
          <w:szCs w:val="24"/>
        </w:rPr>
        <w:t xml:space="preserve">, </w:t>
      </w:r>
      <w:r w:rsidRPr="005448C8">
        <w:rPr>
          <w:rFonts w:ascii="Times New Roman" w:hAnsi="Times New Roman" w:cs="Times New Roman"/>
          <w:sz w:val="24"/>
          <w:szCs w:val="24"/>
        </w:rPr>
        <w:t>Yogyakarta: Mitra Cendi</w:t>
      </w:r>
      <w:r>
        <w:rPr>
          <w:rFonts w:ascii="Times New Roman" w:hAnsi="Times New Roman" w:cs="Times New Roman"/>
          <w:sz w:val="24"/>
          <w:szCs w:val="24"/>
        </w:rPr>
        <w:t>kia Offset, 2008.</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Sharma, Alka., and Versha Mehta (2005), “ Service Quality Perceptions In Financial Service-A Case Study Of Banking Services “, </w:t>
      </w:r>
      <w:r w:rsidRPr="005448C8">
        <w:rPr>
          <w:rFonts w:ascii="Times New Roman" w:hAnsi="Times New Roman" w:cs="Times New Roman"/>
          <w:i/>
          <w:iCs/>
          <w:sz w:val="24"/>
          <w:szCs w:val="24"/>
        </w:rPr>
        <w:t>Journal of Service Research</w:t>
      </w:r>
      <w:r w:rsidRPr="005448C8">
        <w:rPr>
          <w:rFonts w:ascii="Times New Roman" w:hAnsi="Times New Roman" w:cs="Times New Roman"/>
          <w:sz w:val="24"/>
          <w:szCs w:val="24"/>
        </w:rPr>
        <w:t>, vol</w:t>
      </w:r>
      <w:r>
        <w:rPr>
          <w:rFonts w:ascii="Times New Roman" w:hAnsi="Times New Roman" w:cs="Times New Roman"/>
          <w:sz w:val="24"/>
          <w:szCs w:val="24"/>
        </w:rPr>
        <w:t>. 4, 2005.</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Sri Widyastuti, </w:t>
      </w:r>
      <w:r w:rsidRPr="005448C8">
        <w:rPr>
          <w:rFonts w:ascii="Times New Roman" w:hAnsi="Times New Roman" w:cs="Times New Roman"/>
          <w:i/>
          <w:sz w:val="24"/>
          <w:szCs w:val="24"/>
        </w:rPr>
        <w:t>Membina Keakraban Pelanggan</w:t>
      </w:r>
      <w:r w:rsidRPr="005448C8">
        <w:rPr>
          <w:rFonts w:ascii="Times New Roman" w:hAnsi="Times New Roman" w:cs="Times New Roman"/>
          <w:sz w:val="24"/>
          <w:szCs w:val="24"/>
        </w:rPr>
        <w:t xml:space="preserve">: </w:t>
      </w:r>
      <w:r w:rsidRPr="005448C8">
        <w:rPr>
          <w:rFonts w:ascii="Times New Roman" w:hAnsi="Times New Roman" w:cs="Times New Roman"/>
          <w:i/>
          <w:sz w:val="24"/>
          <w:szCs w:val="24"/>
        </w:rPr>
        <w:t>Manajemen Hubungan Pelanggan Sejati</w:t>
      </w:r>
      <w:r>
        <w:rPr>
          <w:rFonts w:ascii="Times New Roman" w:hAnsi="Times New Roman" w:cs="Times New Roman"/>
          <w:sz w:val="24"/>
          <w:szCs w:val="24"/>
        </w:rPr>
        <w:t xml:space="preserve">, </w:t>
      </w:r>
      <w:r w:rsidRPr="005448C8">
        <w:rPr>
          <w:rFonts w:ascii="Times New Roman" w:hAnsi="Times New Roman" w:cs="Times New Roman"/>
          <w:sz w:val="24"/>
          <w:szCs w:val="24"/>
        </w:rPr>
        <w:t>Jakarta Selatan:  Fakultas Ekonomi dan Bisnis Universitas</w:t>
      </w:r>
      <w:r>
        <w:rPr>
          <w:rFonts w:ascii="Times New Roman" w:hAnsi="Times New Roman" w:cs="Times New Roman"/>
          <w:sz w:val="24"/>
          <w:szCs w:val="24"/>
        </w:rPr>
        <w:t>, 2016.</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Sutrino, Edy. </w:t>
      </w:r>
      <w:r w:rsidRPr="005448C8">
        <w:rPr>
          <w:rFonts w:ascii="Times New Roman" w:hAnsi="Times New Roman" w:cs="Times New Roman"/>
          <w:i/>
          <w:sz w:val="24"/>
          <w:szCs w:val="24"/>
        </w:rPr>
        <w:t>Budaya Organisasi</w:t>
      </w:r>
      <w:r>
        <w:rPr>
          <w:rFonts w:ascii="Times New Roman" w:hAnsi="Times New Roman" w:cs="Times New Roman"/>
          <w:i/>
          <w:sz w:val="24"/>
          <w:szCs w:val="24"/>
        </w:rPr>
        <w:t xml:space="preserve">, </w:t>
      </w:r>
      <w:r w:rsidRPr="005448C8">
        <w:rPr>
          <w:rFonts w:ascii="Times New Roman" w:hAnsi="Times New Roman" w:cs="Times New Roman"/>
          <w:sz w:val="24"/>
          <w:szCs w:val="24"/>
        </w:rPr>
        <w:t>Jakarta: Kencana Prenada Media Group, 2010</w:t>
      </w:r>
      <w:r>
        <w:rPr>
          <w:rFonts w:ascii="Times New Roman" w:hAnsi="Times New Roman" w:cs="Times New Roman"/>
          <w:sz w:val="24"/>
          <w:szCs w:val="24"/>
        </w:rPr>
        <w:t>.</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Tim Markenis. </w:t>
      </w:r>
      <w:r w:rsidRPr="005448C8">
        <w:rPr>
          <w:rFonts w:ascii="Times New Roman" w:hAnsi="Times New Roman" w:cs="Times New Roman"/>
          <w:i/>
          <w:sz w:val="24"/>
          <w:szCs w:val="24"/>
        </w:rPr>
        <w:t>Customer Satisfaction and Beyond</w:t>
      </w:r>
      <w:r w:rsidRPr="005448C8">
        <w:rPr>
          <w:rFonts w:ascii="Times New Roman" w:hAnsi="Times New Roman" w:cs="Times New Roman"/>
          <w:sz w:val="24"/>
          <w:szCs w:val="24"/>
        </w:rPr>
        <w:t xml:space="preserve">, Yogyakarta: </w:t>
      </w:r>
      <w:r>
        <w:rPr>
          <w:rFonts w:ascii="Times New Roman" w:hAnsi="Times New Roman" w:cs="Times New Roman"/>
          <w:sz w:val="24"/>
          <w:szCs w:val="24"/>
        </w:rPr>
        <w:t>Markenis, 2009.</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Tjiptono Fandy dan Chandra, Gregorius. </w:t>
      </w:r>
      <w:r w:rsidRPr="005448C8">
        <w:rPr>
          <w:rFonts w:ascii="Times New Roman" w:hAnsi="Times New Roman" w:cs="Times New Roman"/>
          <w:i/>
          <w:sz w:val="24"/>
          <w:szCs w:val="24"/>
        </w:rPr>
        <w:t>Service, Quality, Satisfaction</w:t>
      </w:r>
      <w:r>
        <w:rPr>
          <w:rFonts w:ascii="Times New Roman" w:hAnsi="Times New Roman" w:cs="Times New Roman"/>
          <w:sz w:val="24"/>
          <w:szCs w:val="24"/>
        </w:rPr>
        <w:t xml:space="preserve">. </w:t>
      </w:r>
      <w:r w:rsidRPr="005448C8">
        <w:rPr>
          <w:rFonts w:ascii="Times New Roman" w:hAnsi="Times New Roman" w:cs="Times New Roman"/>
          <w:sz w:val="24"/>
          <w:szCs w:val="24"/>
        </w:rPr>
        <w:t>Yogyakarta: Andi</w:t>
      </w:r>
      <w:r>
        <w:rPr>
          <w:rFonts w:ascii="Times New Roman" w:hAnsi="Times New Roman" w:cs="Times New Roman"/>
          <w:sz w:val="24"/>
          <w:szCs w:val="24"/>
        </w:rPr>
        <w:t>, 2007.</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Tjiptono, Fandy, </w:t>
      </w:r>
      <w:r w:rsidRPr="005448C8">
        <w:rPr>
          <w:rFonts w:ascii="Times New Roman" w:hAnsi="Times New Roman" w:cs="Times New Roman"/>
          <w:i/>
          <w:sz w:val="24"/>
          <w:szCs w:val="24"/>
        </w:rPr>
        <w:t>Pemasaran Jasa</w:t>
      </w:r>
      <w:r>
        <w:rPr>
          <w:rFonts w:ascii="Times New Roman" w:hAnsi="Times New Roman" w:cs="Times New Roman"/>
          <w:sz w:val="24"/>
          <w:szCs w:val="24"/>
        </w:rPr>
        <w:t xml:space="preserve">. </w:t>
      </w:r>
      <w:r w:rsidRPr="005448C8">
        <w:rPr>
          <w:rFonts w:ascii="Times New Roman" w:hAnsi="Times New Roman" w:cs="Times New Roman"/>
          <w:sz w:val="24"/>
          <w:szCs w:val="24"/>
        </w:rPr>
        <w:t xml:space="preserve">Malang: Bayu Media Publishing, </w:t>
      </w:r>
      <w:r>
        <w:rPr>
          <w:rFonts w:ascii="Times New Roman" w:hAnsi="Times New Roman" w:cs="Times New Roman"/>
          <w:sz w:val="24"/>
          <w:szCs w:val="24"/>
        </w:rPr>
        <w:t>2006.</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Tseng, Yi Ming, 2007</w:t>
      </w:r>
      <w:r w:rsidRPr="005448C8">
        <w:rPr>
          <w:rFonts w:ascii="Times New Roman" w:hAnsi="Times New Roman" w:cs="Times New Roman"/>
          <w:sz w:val="24"/>
          <w:szCs w:val="24"/>
        </w:rPr>
        <w:t xml:space="preserve">, " The Impacts Of Relationship Marketing Tactics On Relationship Quality In Service Industry ", </w:t>
      </w:r>
      <w:r w:rsidRPr="005448C8">
        <w:rPr>
          <w:rFonts w:ascii="Times New Roman" w:hAnsi="Times New Roman" w:cs="Times New Roman"/>
          <w:i/>
          <w:iCs/>
          <w:sz w:val="24"/>
          <w:szCs w:val="24"/>
        </w:rPr>
        <w:t>The Business Review</w:t>
      </w:r>
      <w:r>
        <w:rPr>
          <w:rFonts w:ascii="Times New Roman" w:hAnsi="Times New Roman" w:cs="Times New Roman"/>
          <w:sz w:val="24"/>
          <w:szCs w:val="24"/>
        </w:rPr>
        <w:t>, Vol. 7 No. 2.</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Ueltschy, et. al., “ Service  Quality And Satisfaction: An International Comparison Of Professional Services Perceptions “, </w:t>
      </w:r>
      <w:r w:rsidRPr="005448C8">
        <w:rPr>
          <w:rFonts w:ascii="Times New Roman" w:hAnsi="Times New Roman" w:cs="Times New Roman"/>
          <w:i/>
          <w:sz w:val="24"/>
          <w:szCs w:val="24"/>
        </w:rPr>
        <w:t>Journal of Services Marketing</w:t>
      </w:r>
      <w:r w:rsidRPr="005448C8">
        <w:rPr>
          <w:rFonts w:ascii="Times New Roman" w:hAnsi="Times New Roman" w:cs="Times New Roman"/>
          <w:sz w:val="24"/>
          <w:szCs w:val="24"/>
        </w:rPr>
        <w:t>, Vol. 21 No. 6</w:t>
      </w:r>
      <w:r>
        <w:rPr>
          <w:rFonts w:ascii="Times New Roman" w:hAnsi="Times New Roman" w:cs="Times New Roman"/>
          <w:sz w:val="24"/>
          <w:szCs w:val="24"/>
        </w:rPr>
        <w:t>. 2007.</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Yap, Kenne</w:t>
      </w:r>
      <w:r>
        <w:rPr>
          <w:rFonts w:ascii="Times New Roman" w:hAnsi="Times New Roman" w:cs="Times New Roman"/>
          <w:sz w:val="24"/>
          <w:szCs w:val="24"/>
        </w:rPr>
        <w:t>th B., and, Jillian C. Sweeney, 2007.</w:t>
      </w:r>
      <w:r w:rsidRPr="005448C8">
        <w:rPr>
          <w:rFonts w:ascii="Times New Roman" w:hAnsi="Times New Roman" w:cs="Times New Roman"/>
          <w:sz w:val="24"/>
          <w:szCs w:val="24"/>
        </w:rPr>
        <w:t xml:space="preserve"> " Zone-Of-Tolerance Moderates The Service Quality-Outcome Relationship " </w:t>
      </w:r>
      <w:r w:rsidRPr="005448C8">
        <w:rPr>
          <w:rFonts w:ascii="Times New Roman" w:hAnsi="Times New Roman" w:cs="Times New Roman"/>
          <w:i/>
          <w:iCs/>
          <w:sz w:val="24"/>
          <w:szCs w:val="24"/>
        </w:rPr>
        <w:t>Journal of Service Quality</w:t>
      </w:r>
      <w:r w:rsidRPr="005448C8">
        <w:rPr>
          <w:rFonts w:ascii="Times New Roman" w:hAnsi="Times New Roman" w:cs="Times New Roman"/>
          <w:sz w:val="24"/>
          <w:szCs w:val="24"/>
        </w:rPr>
        <w:t>, Vol. 21 No. 2</w:t>
      </w:r>
      <w:r>
        <w:rPr>
          <w:rFonts w:ascii="Times New Roman" w:hAnsi="Times New Roman" w:cs="Times New Roman"/>
          <w:sz w:val="24"/>
          <w:szCs w:val="24"/>
        </w:rPr>
        <w:t>.</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Zahay, Debra., and, Abbie Griffin</w:t>
      </w:r>
      <w:r>
        <w:rPr>
          <w:rFonts w:ascii="Times New Roman" w:hAnsi="Times New Roman" w:cs="Times New Roman"/>
          <w:sz w:val="24"/>
          <w:szCs w:val="24"/>
        </w:rPr>
        <w:t>, 2004.</w:t>
      </w:r>
      <w:r w:rsidRPr="005448C8">
        <w:rPr>
          <w:rFonts w:ascii="Times New Roman" w:hAnsi="Times New Roman" w:cs="Times New Roman"/>
          <w:sz w:val="24"/>
          <w:szCs w:val="24"/>
        </w:rPr>
        <w:t xml:space="preserve"> " Customer Learning Processes, Strategy Selection, And Performance In Business To Business Service Firms " </w:t>
      </w:r>
      <w:r w:rsidRPr="005448C8">
        <w:rPr>
          <w:rFonts w:ascii="Times New Roman" w:hAnsi="Times New Roman" w:cs="Times New Roman"/>
          <w:i/>
          <w:iCs/>
          <w:sz w:val="24"/>
          <w:szCs w:val="24"/>
        </w:rPr>
        <w:t>Decision Sciences</w:t>
      </w:r>
      <w:r>
        <w:rPr>
          <w:rFonts w:ascii="Times New Roman" w:hAnsi="Times New Roman" w:cs="Times New Roman"/>
          <w:sz w:val="24"/>
          <w:szCs w:val="24"/>
        </w:rPr>
        <w:t>, Vol. 35 No. 2.</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heme="majorBidi" w:hAnsiTheme="majorBidi" w:cstheme="majorBidi"/>
          <w:sz w:val="24"/>
          <w:szCs w:val="24"/>
        </w:rPr>
        <w:t xml:space="preserve">Zainuddin Ali, </w:t>
      </w:r>
      <w:r w:rsidRPr="005448C8">
        <w:rPr>
          <w:rFonts w:asciiTheme="majorBidi" w:hAnsiTheme="majorBidi" w:cstheme="majorBidi"/>
          <w:i/>
          <w:sz w:val="24"/>
          <w:szCs w:val="24"/>
        </w:rPr>
        <w:t>Hukum Ekonomi Syariah</w:t>
      </w:r>
      <w:r>
        <w:rPr>
          <w:rFonts w:asciiTheme="majorBidi" w:hAnsiTheme="majorBidi" w:cstheme="majorBidi"/>
          <w:sz w:val="24"/>
          <w:szCs w:val="24"/>
        </w:rPr>
        <w:t xml:space="preserve">, </w:t>
      </w:r>
      <w:r w:rsidRPr="005448C8">
        <w:rPr>
          <w:rFonts w:asciiTheme="majorBidi" w:hAnsiTheme="majorBidi" w:cstheme="majorBidi"/>
          <w:sz w:val="24"/>
          <w:szCs w:val="24"/>
        </w:rPr>
        <w:t>Jakarta: Sinar Grafika, 2008</w:t>
      </w:r>
      <w:r>
        <w:rPr>
          <w:rFonts w:asciiTheme="majorBidi" w:hAnsiTheme="majorBidi" w:cstheme="majorBidi"/>
          <w:sz w:val="24"/>
          <w:szCs w:val="24"/>
        </w:rPr>
        <w:t>.</w:t>
      </w:r>
    </w:p>
    <w:p w:rsidR="001E319E" w:rsidRDefault="001E319E" w:rsidP="001E319E">
      <w:pPr>
        <w:autoSpaceDE w:val="0"/>
        <w:autoSpaceDN w:val="0"/>
        <w:adjustRightInd w:val="0"/>
        <w:spacing w:after="120" w:line="240" w:lineRule="auto"/>
        <w:ind w:left="1080" w:hanging="1080"/>
        <w:jc w:val="both"/>
        <w:rPr>
          <w:rFonts w:ascii="Times New Roman" w:hAnsi="Times New Roman" w:cs="Times New Roman"/>
          <w:sz w:val="24"/>
          <w:szCs w:val="24"/>
        </w:rPr>
      </w:pPr>
      <w:r w:rsidRPr="005448C8">
        <w:rPr>
          <w:rFonts w:ascii="Times New Roman" w:hAnsi="Times New Roman" w:cs="Times New Roman"/>
          <w:sz w:val="24"/>
          <w:szCs w:val="24"/>
        </w:rPr>
        <w:t xml:space="preserve">Zainuddin Ali, </w:t>
      </w:r>
      <w:r w:rsidRPr="005448C8">
        <w:rPr>
          <w:rFonts w:ascii="Times New Roman" w:hAnsi="Times New Roman" w:cs="Times New Roman"/>
          <w:i/>
          <w:sz w:val="24"/>
          <w:szCs w:val="24"/>
        </w:rPr>
        <w:t>Hukum Perbankan Syariah</w:t>
      </w:r>
      <w:r>
        <w:rPr>
          <w:rFonts w:ascii="Times New Roman" w:hAnsi="Times New Roman" w:cs="Times New Roman"/>
          <w:i/>
          <w:sz w:val="24"/>
          <w:szCs w:val="24"/>
        </w:rPr>
        <w:t xml:space="preserve">, </w:t>
      </w:r>
      <w:r w:rsidRPr="005448C8">
        <w:rPr>
          <w:rFonts w:ascii="Times New Roman" w:hAnsi="Times New Roman" w:cs="Times New Roman"/>
          <w:sz w:val="24"/>
          <w:szCs w:val="24"/>
        </w:rPr>
        <w:t>Jakarta: Sinar Grafika, 2008</w:t>
      </w:r>
    </w:p>
    <w:p w:rsidR="001E319E" w:rsidRPr="005448C8" w:rsidRDefault="00EC7B77" w:rsidP="001E319E">
      <w:pPr>
        <w:autoSpaceDE w:val="0"/>
        <w:autoSpaceDN w:val="0"/>
        <w:adjustRightInd w:val="0"/>
        <w:spacing w:after="0" w:line="360" w:lineRule="auto"/>
        <w:ind w:left="1080" w:hanging="1080"/>
        <w:jc w:val="both"/>
        <w:rPr>
          <w:rFonts w:ascii="Times New Roman" w:hAnsi="Times New Roman" w:cs="Times New Roman"/>
          <w:sz w:val="24"/>
          <w:szCs w:val="24"/>
        </w:rPr>
      </w:pPr>
      <w:hyperlink r:id="rId13" w:history="1">
        <w:r w:rsidR="001E319E" w:rsidRPr="005448C8">
          <w:rPr>
            <w:rStyle w:val="Hyperlink"/>
            <w:rFonts w:ascii="Times New Roman" w:hAnsi="Times New Roman" w:cs="Times New Roman"/>
            <w:sz w:val="24"/>
            <w:szCs w:val="24"/>
          </w:rPr>
          <w:t>www.ojk.go.id</w:t>
        </w:r>
      </w:hyperlink>
    </w:p>
    <w:p w:rsidR="001E319E" w:rsidRPr="00E50983" w:rsidRDefault="00EC7B77" w:rsidP="001E319E">
      <w:pPr>
        <w:autoSpaceDE w:val="0"/>
        <w:autoSpaceDN w:val="0"/>
        <w:adjustRightInd w:val="0"/>
        <w:spacing w:after="0" w:line="360" w:lineRule="auto"/>
        <w:ind w:left="1080" w:hanging="1080"/>
        <w:jc w:val="both"/>
        <w:rPr>
          <w:rFonts w:asciiTheme="majorBidi" w:hAnsiTheme="majorBidi" w:cstheme="majorBidi"/>
          <w:sz w:val="24"/>
          <w:szCs w:val="24"/>
        </w:rPr>
      </w:pPr>
      <w:hyperlink r:id="rId14" w:history="1">
        <w:r w:rsidR="001E319E" w:rsidRPr="00E50983">
          <w:rPr>
            <w:rStyle w:val="Hyperlink"/>
            <w:rFonts w:asciiTheme="majorBidi" w:hAnsiTheme="majorBidi" w:cstheme="majorBidi"/>
            <w:sz w:val="24"/>
            <w:szCs w:val="24"/>
          </w:rPr>
          <w:t>www.pegadaian.co.id</w:t>
        </w:r>
      </w:hyperlink>
    </w:p>
    <w:p w:rsidR="001E319E" w:rsidRDefault="001E319E" w:rsidP="001E319E">
      <w:pPr>
        <w:spacing w:after="0" w:line="360" w:lineRule="auto"/>
        <w:ind w:firstLine="720"/>
        <w:jc w:val="both"/>
      </w:pPr>
    </w:p>
    <w:sectPr w:rsidR="001E319E" w:rsidSect="001E319E">
      <w:pgSz w:w="11906" w:h="16838" w:code="9"/>
      <w:pgMar w:top="1440" w:right="1440" w:bottom="1440"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29A" w:rsidRDefault="00A8629A" w:rsidP="00C13E17">
      <w:pPr>
        <w:spacing w:after="0" w:line="240" w:lineRule="auto"/>
      </w:pPr>
      <w:r>
        <w:separator/>
      </w:r>
    </w:p>
  </w:endnote>
  <w:endnote w:type="continuationSeparator" w:id="1">
    <w:p w:rsidR="00A8629A" w:rsidRDefault="00A8629A" w:rsidP="00C13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29A" w:rsidRDefault="00A8629A" w:rsidP="00C13E17">
      <w:pPr>
        <w:spacing w:after="0" w:line="240" w:lineRule="auto"/>
      </w:pPr>
      <w:r>
        <w:separator/>
      </w:r>
    </w:p>
  </w:footnote>
  <w:footnote w:type="continuationSeparator" w:id="1">
    <w:p w:rsidR="00A8629A" w:rsidRDefault="00A8629A" w:rsidP="00C13E17">
      <w:pPr>
        <w:spacing w:after="0" w:line="240" w:lineRule="auto"/>
      </w:pPr>
      <w:r>
        <w:continuationSeparator/>
      </w:r>
    </w:p>
  </w:footnote>
  <w:footnote w:id="2">
    <w:p w:rsidR="00B6517A" w:rsidRPr="001E319E" w:rsidRDefault="00B6517A"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Lecturer at Islamic Institute  (IAI) Yasni Bungo</w:t>
      </w:r>
    </w:p>
  </w:footnote>
  <w:footnote w:id="3">
    <w:p w:rsidR="00C13E17" w:rsidRPr="001E319E" w:rsidRDefault="00C13E17"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Lecturer at State Islamic Institute (IAIN) Curup</w:t>
      </w:r>
    </w:p>
  </w:footnote>
  <w:footnote w:id="4">
    <w:p w:rsidR="00A10FB0" w:rsidRPr="001E319E" w:rsidRDefault="00A10FB0"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Government Regulation of the Republic of Indonesia Number 103 of 2000 concerning </w:t>
      </w:r>
      <w:r w:rsidRPr="001E319E">
        <w:rPr>
          <w:rFonts w:ascii="Times New Roman" w:hAnsi="Times New Roman" w:cs="Times New Roman"/>
          <w:i/>
          <w:iCs/>
          <w:color w:val="000000"/>
        </w:rPr>
        <w:t>Perum Pegadaian </w:t>
      </w:r>
      <w:r w:rsidRPr="001E319E">
        <w:rPr>
          <w:rFonts w:ascii="Times New Roman" w:hAnsi="Times New Roman" w:cs="Times New Roman"/>
          <w:color w:val="000000"/>
        </w:rPr>
        <w:t>, Article 6</w:t>
      </w:r>
    </w:p>
  </w:footnote>
  <w:footnote w:id="5">
    <w:p w:rsidR="00A10FB0" w:rsidRPr="001E319E" w:rsidRDefault="00A10FB0"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Zainuddin Ali, </w:t>
      </w:r>
      <w:r w:rsidRPr="001E319E">
        <w:rPr>
          <w:i/>
          <w:iCs/>
          <w:color w:val="000000"/>
          <w:sz w:val="20"/>
          <w:szCs w:val="20"/>
        </w:rPr>
        <w:t>Islamic Banking Law </w:t>
      </w:r>
      <w:r w:rsidRPr="001E319E">
        <w:rPr>
          <w:color w:val="000000"/>
          <w:sz w:val="20"/>
          <w:szCs w:val="20"/>
        </w:rPr>
        <w:t>(Ja karta: Sinar Grafika, 2008), p . 139</w:t>
      </w:r>
    </w:p>
    <w:p w:rsidR="00A10FB0" w:rsidRPr="001E319E" w:rsidRDefault="00A10FB0" w:rsidP="001E319E">
      <w:pPr>
        <w:pStyle w:val="FootnoteText"/>
        <w:jc w:val="both"/>
        <w:rPr>
          <w:rFonts w:ascii="Times New Roman" w:hAnsi="Times New Roman" w:cs="Times New Roman"/>
        </w:rPr>
      </w:pPr>
    </w:p>
  </w:footnote>
  <w:footnote w:id="6">
    <w:p w:rsidR="00A10FB0" w:rsidRPr="001E319E" w:rsidRDefault="00A10FB0"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Herry Sutanto and Khaerul Umam, </w:t>
      </w:r>
      <w:r w:rsidRPr="001E319E">
        <w:rPr>
          <w:rFonts w:ascii="Times New Roman" w:hAnsi="Times New Roman" w:cs="Times New Roman"/>
          <w:i/>
          <w:iCs/>
          <w:color w:val="000000"/>
        </w:rPr>
        <w:t>Marketing Management of Islamic Banks </w:t>
      </w:r>
      <w:r w:rsidRPr="001E319E">
        <w:rPr>
          <w:rFonts w:ascii="Times New Roman" w:hAnsi="Times New Roman" w:cs="Times New Roman"/>
          <w:color w:val="000000"/>
        </w:rPr>
        <w:t>(Ban dung: Pustaka Setia, 2013), p . 390.</w:t>
      </w:r>
    </w:p>
  </w:footnote>
  <w:footnote w:id="7">
    <w:p w:rsidR="00A10FB0" w:rsidRPr="001E319E" w:rsidRDefault="00A10FB0"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hyperlink r:id="rId1" w:history="1">
        <w:r w:rsidRPr="001E319E">
          <w:rPr>
            <w:rStyle w:val="Hyperlink"/>
            <w:rFonts w:ascii="Times New Roman" w:hAnsi="Times New Roman" w:cs="Times New Roman"/>
            <w:color w:val="000000"/>
          </w:rPr>
          <w:t>http://www.ojk.go.id/id/regulasi/otoritas-jasa-keuangan/peraturan</w:t>
        </w:r>
      </w:hyperlink>
      <w:r w:rsidRPr="001E319E">
        <w:rPr>
          <w:rFonts w:ascii="Times New Roman" w:hAnsi="Times New Roman" w:cs="Times New Roman"/>
          <w:color w:val="000000"/>
        </w:rPr>
        <w:t> ojk / POJK-Usaha-Pergadaian.pdf</w:t>
      </w:r>
    </w:p>
  </w:footnote>
  <w:footnote w:id="8">
    <w:p w:rsidR="00A10FB0" w:rsidRPr="001E319E" w:rsidRDefault="00A10FB0"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www.ojk.go.id             </w:t>
      </w:r>
    </w:p>
  </w:footnote>
  <w:footnote w:id="9">
    <w:p w:rsidR="00A10FB0" w:rsidRPr="001E319E" w:rsidRDefault="00A10FB0"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hyperlink r:id="rId2" w:history="1">
        <w:r w:rsidRPr="001E319E">
          <w:rPr>
            <w:rStyle w:val="Hyperlink"/>
            <w:color w:val="000000"/>
            <w:sz w:val="20"/>
            <w:szCs w:val="20"/>
          </w:rPr>
          <w:t>https://www.ojk.go.id/id/kanal/iknb/datadan-statistik</w:t>
        </w:r>
      </w:hyperlink>
      <w:r w:rsidRPr="001E319E">
        <w:rPr>
          <w:color w:val="000000"/>
          <w:sz w:val="20"/>
          <w:szCs w:val="20"/>
        </w:rPr>
        <w:t> 29 May 2019. Accessed 29 June 2019</w:t>
      </w:r>
    </w:p>
  </w:footnote>
  <w:footnote w:id="10">
    <w:p w:rsidR="00A10FB0" w:rsidRPr="001E319E" w:rsidRDefault="00A10FB0"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Payne, A, </w:t>
      </w:r>
      <w:r w:rsidRPr="001E319E">
        <w:rPr>
          <w:rFonts w:ascii="Times New Roman" w:hAnsi="Times New Roman" w:cs="Times New Roman"/>
          <w:i/>
          <w:iCs/>
          <w:color w:val="000000"/>
        </w:rPr>
        <w:t>Handbook Of CRM: Achieving Excellence in Customer Management. </w:t>
      </w:r>
      <w:r w:rsidRPr="001E319E">
        <w:rPr>
          <w:rFonts w:ascii="Times New Roman" w:hAnsi="Times New Roman" w:cs="Times New Roman"/>
          <w:color w:val="000000"/>
        </w:rPr>
        <w:t>( Great Britain: Elsevier Ltd. 2008), p. 4-6 .</w:t>
      </w:r>
    </w:p>
  </w:footnote>
  <w:footnote w:id="11">
    <w:p w:rsidR="00A10FB0" w:rsidRPr="001E319E" w:rsidRDefault="00A10FB0" w:rsidP="001E319E">
      <w:pPr>
        <w:pStyle w:val="FootnoteText"/>
        <w:ind w:firstLine="709"/>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Kang, Gi-Du, " The Hierarchical Structure Of Service Quality: Integration Of Technical And Functional Quality ", </w:t>
      </w:r>
      <w:r w:rsidRPr="001E319E">
        <w:rPr>
          <w:rFonts w:ascii="Times New Roman" w:hAnsi="Times New Roman" w:cs="Times New Roman"/>
          <w:i/>
          <w:iCs/>
          <w:color w:val="000000"/>
        </w:rPr>
        <w:t>Managing Service Quality </w:t>
      </w:r>
      <w:r w:rsidRPr="001E319E">
        <w:rPr>
          <w:rFonts w:ascii="Times New Roman" w:hAnsi="Times New Roman" w:cs="Times New Roman"/>
          <w:color w:val="000000"/>
        </w:rPr>
        <w:t>, vol. 16 No. 1 , 2006, p. 37-50 .</w:t>
      </w:r>
    </w:p>
  </w:footnote>
  <w:footnote w:id="12">
    <w:p w:rsidR="00A10FB0" w:rsidRPr="001E319E" w:rsidRDefault="00A10FB0" w:rsidP="001E319E">
      <w:pPr>
        <w:pStyle w:val="NormalWeb"/>
        <w:spacing w:before="0" w:beforeAutospacing="0" w:after="0" w:afterAutospacing="0"/>
        <w:ind w:firstLine="709"/>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Sharma, Alka., And Versha Mehta (2005), “Service Quality Perceptions In Financial Service-A Case Study Of Banking Services ”, </w:t>
      </w:r>
      <w:r w:rsidRPr="001E319E">
        <w:rPr>
          <w:i/>
          <w:iCs/>
          <w:color w:val="000000"/>
          <w:sz w:val="20"/>
          <w:szCs w:val="20"/>
        </w:rPr>
        <w:t>Journal of Service Research </w:t>
      </w:r>
      <w:r w:rsidRPr="001E319E">
        <w:rPr>
          <w:color w:val="000000"/>
          <w:sz w:val="20"/>
          <w:szCs w:val="20"/>
        </w:rPr>
        <w:t>, vol . 4, 2005. h . 205-222 .</w:t>
      </w:r>
    </w:p>
    <w:p w:rsidR="00A10FB0" w:rsidRPr="001E319E" w:rsidRDefault="00A10FB0" w:rsidP="001E319E">
      <w:pPr>
        <w:pStyle w:val="FootnoteText"/>
        <w:jc w:val="both"/>
        <w:rPr>
          <w:rFonts w:ascii="Times New Roman" w:hAnsi="Times New Roman" w:cs="Times New Roman"/>
        </w:rPr>
      </w:pPr>
    </w:p>
  </w:footnote>
  <w:footnote w:id="13">
    <w:p w:rsidR="00A10FB0" w:rsidRPr="001E319E" w:rsidRDefault="00A10FB0"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Moh Nazir, </w:t>
      </w:r>
      <w:r w:rsidRPr="001E319E">
        <w:rPr>
          <w:i/>
          <w:iCs/>
          <w:color w:val="000000"/>
          <w:sz w:val="20"/>
          <w:szCs w:val="20"/>
        </w:rPr>
        <w:t>Research Methods </w:t>
      </w:r>
      <w:r w:rsidRPr="001E319E">
        <w:rPr>
          <w:color w:val="000000"/>
          <w:sz w:val="20"/>
          <w:szCs w:val="20"/>
        </w:rPr>
        <w:t>(Bog or: Ghalia Indonesia, 2005), p. 57 .</w:t>
      </w:r>
    </w:p>
  </w:footnote>
  <w:footnote w:id="14">
    <w:p w:rsidR="00A10FB0" w:rsidRPr="001E319E" w:rsidRDefault="00A10FB0" w:rsidP="001E319E">
      <w:pPr>
        <w:pStyle w:val="NormalWeb"/>
        <w:spacing w:before="0" w:beforeAutospacing="0" w:after="0" w:afterAutospacing="0"/>
        <w:ind w:left="142" w:firstLine="578"/>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Hani 'Arab, </w:t>
      </w:r>
      <w:r w:rsidRPr="001E319E">
        <w:rPr>
          <w:i/>
          <w:iCs/>
          <w:color w:val="000000"/>
          <w:sz w:val="20"/>
          <w:szCs w:val="20"/>
        </w:rPr>
        <w:t>Maharats At-Tafkir Wa Al-Bahts Al-'Ilmi, </w:t>
      </w:r>
      <w:r w:rsidRPr="001E319E">
        <w:rPr>
          <w:color w:val="000000"/>
          <w:sz w:val="20"/>
          <w:szCs w:val="20"/>
        </w:rPr>
        <w:t>(tt: Rendezvous Sientific Researches, 2009), p. 73 .</w:t>
      </w:r>
    </w:p>
  </w:footnote>
  <w:footnote w:id="15">
    <w:p w:rsidR="00A10FB0" w:rsidRPr="001E319E" w:rsidRDefault="00A10FB0"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Inggang Perwangsa, Nuraalam, </w:t>
      </w:r>
      <w:r w:rsidRPr="001E319E">
        <w:rPr>
          <w:i/>
          <w:iCs/>
          <w:color w:val="000000"/>
          <w:sz w:val="20"/>
          <w:szCs w:val="20"/>
        </w:rPr>
        <w:t>Indonesian Islamic Banking Customer Relationship Management </w:t>
      </w:r>
      <w:r w:rsidRPr="001E319E">
        <w:rPr>
          <w:color w:val="000000"/>
          <w:sz w:val="20"/>
          <w:szCs w:val="20"/>
        </w:rPr>
        <w:t>. (Sleman: CV Budi Utama, 2018), p. 81</w:t>
      </w:r>
    </w:p>
  </w:footnote>
  <w:footnote w:id="16">
    <w:p w:rsidR="00A10FB0" w:rsidRPr="001E319E" w:rsidRDefault="00A10FB0"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G. Armstrong and P. Kotler, </w:t>
      </w:r>
      <w:r w:rsidRPr="001E319E">
        <w:rPr>
          <w:rFonts w:ascii="Times New Roman" w:hAnsi="Times New Roman" w:cs="Times New Roman"/>
          <w:i/>
          <w:iCs/>
          <w:color w:val="000000"/>
        </w:rPr>
        <w:t>Marketing: An Introduction </w:t>
      </w:r>
      <w:r w:rsidRPr="001E319E">
        <w:rPr>
          <w:rFonts w:ascii="Times New Roman" w:hAnsi="Times New Roman" w:cs="Times New Roman"/>
          <w:color w:val="000000"/>
        </w:rPr>
        <w:t>, (Pearson Education, Upper Saddle River, NJ, USA, 10th edition, 2011), p. 13</w:t>
      </w:r>
    </w:p>
  </w:footnote>
  <w:footnote w:id="17">
    <w:p w:rsidR="00A10FB0" w:rsidRPr="001E319E" w:rsidRDefault="00A10FB0"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Team Markenis. </w:t>
      </w:r>
      <w:r w:rsidRPr="001E319E">
        <w:rPr>
          <w:i/>
          <w:iCs/>
          <w:color w:val="000000"/>
          <w:sz w:val="20"/>
          <w:szCs w:val="20"/>
        </w:rPr>
        <w:t>Customer Satisfaction and Beyond </w:t>
      </w:r>
      <w:r w:rsidRPr="001E319E">
        <w:rPr>
          <w:color w:val="000000"/>
          <w:sz w:val="20"/>
          <w:szCs w:val="20"/>
        </w:rPr>
        <w:t>, ( Yogyakarta: Markenis, 2009), p. 11 .</w:t>
      </w:r>
    </w:p>
  </w:footnote>
  <w:footnote w:id="18">
    <w:p w:rsidR="00A10FB0" w:rsidRPr="001E319E" w:rsidRDefault="00A10FB0"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Ueltschy , et. al., "Service Quality And Satisfaction: An International Comparison Of Professional Services Perceptions", </w:t>
      </w:r>
      <w:r w:rsidRPr="001E319E">
        <w:rPr>
          <w:i/>
          <w:iCs/>
          <w:color w:val="000000"/>
          <w:sz w:val="20"/>
          <w:szCs w:val="20"/>
        </w:rPr>
        <w:t>Journal of Services Marketing </w:t>
      </w:r>
      <w:r w:rsidRPr="001E319E">
        <w:rPr>
          <w:color w:val="000000"/>
          <w:sz w:val="20"/>
          <w:szCs w:val="20"/>
        </w:rPr>
        <w:t>, Vol. 21 No. 6 . 2007, p . 410- 423 .</w:t>
      </w:r>
    </w:p>
    <w:p w:rsidR="00A10FB0" w:rsidRPr="001E319E" w:rsidRDefault="00A10FB0" w:rsidP="001E319E">
      <w:pPr>
        <w:pStyle w:val="FootnoteText"/>
        <w:jc w:val="both"/>
        <w:rPr>
          <w:rFonts w:ascii="Times New Roman" w:hAnsi="Times New Roman" w:cs="Times New Roman"/>
        </w:rPr>
      </w:pPr>
    </w:p>
  </w:footnote>
  <w:footnote w:id="19">
    <w:p w:rsidR="00A10FB0" w:rsidRPr="001E319E" w:rsidRDefault="00A10FB0"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Cronin, J. Joseph Jr. and Taylor, Steven. 1992. " Measuring Service Quality: Reex Amination and Extension " Journal of Marketing.Vol. 56. h . 55-68.</w:t>
      </w:r>
    </w:p>
  </w:footnote>
  <w:footnote w:id="20">
    <w:p w:rsidR="00A10FB0" w:rsidRPr="001E319E" w:rsidRDefault="00A10FB0"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Kotler, Phi lip. and Keller, Kevin Lane . </w:t>
      </w:r>
      <w:r w:rsidRPr="001E319E">
        <w:rPr>
          <w:rFonts w:ascii="Times New Roman" w:hAnsi="Times New Roman" w:cs="Times New Roman"/>
          <w:i/>
          <w:iCs/>
          <w:color w:val="000000"/>
        </w:rPr>
        <w:t>Marketing Management </w:t>
      </w:r>
      <w:r w:rsidRPr="001E319E">
        <w:rPr>
          <w:rFonts w:ascii="Times New Roman" w:hAnsi="Times New Roman" w:cs="Times New Roman"/>
          <w:color w:val="000000"/>
        </w:rPr>
        <w:t>. Volume 1 and 2. (Jakarta: PT Index, 2007), p. 140</w:t>
      </w:r>
    </w:p>
  </w:footnote>
  <w:footnote w:id="21">
    <w:p w:rsidR="000547B9" w:rsidRPr="001E319E" w:rsidRDefault="000547B9"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Philip Khotler, et al </w:t>
      </w:r>
      <w:r w:rsidRPr="001E319E">
        <w:rPr>
          <w:i/>
          <w:iCs/>
          <w:color w:val="000000"/>
          <w:sz w:val="20"/>
          <w:szCs w:val="20"/>
        </w:rPr>
        <w:t>, Marketing Basics </w:t>
      </w:r>
      <w:r w:rsidRPr="001E319E">
        <w:rPr>
          <w:color w:val="000000"/>
          <w:sz w:val="20"/>
          <w:szCs w:val="20"/>
        </w:rPr>
        <w:t>, (Jakarta: Indonesia, 1996), p . 46</w:t>
      </w:r>
    </w:p>
  </w:footnote>
  <w:footnote w:id="22">
    <w:p w:rsidR="000547B9" w:rsidRPr="001E319E" w:rsidRDefault="000547B9"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Agus Sulastiyono, Hotel </w:t>
      </w:r>
      <w:r w:rsidRPr="001E319E">
        <w:rPr>
          <w:rFonts w:ascii="Times New Roman" w:hAnsi="Times New Roman" w:cs="Times New Roman"/>
          <w:i/>
          <w:iCs/>
          <w:color w:val="000000"/>
        </w:rPr>
        <w:t>Management </w:t>
      </w:r>
      <w:r w:rsidRPr="001E319E">
        <w:rPr>
          <w:rFonts w:ascii="Times New Roman" w:hAnsi="Times New Roman" w:cs="Times New Roman"/>
          <w:color w:val="000000"/>
        </w:rPr>
        <w:t>(Bandung: Alfabeta, 2008) , p. 35 .</w:t>
      </w:r>
    </w:p>
  </w:footnote>
  <w:footnote w:id="23">
    <w:p w:rsidR="000547B9" w:rsidRPr="001E319E" w:rsidRDefault="000547B9"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Love lock, et. al., </w:t>
      </w:r>
      <w:r w:rsidRPr="001E319E">
        <w:rPr>
          <w:i/>
          <w:iCs/>
          <w:color w:val="000000"/>
          <w:sz w:val="20"/>
          <w:szCs w:val="20"/>
        </w:rPr>
        <w:t>Marketing of Human Services, Technology, and Strategy </w:t>
      </w:r>
      <w:r w:rsidRPr="001E319E">
        <w:rPr>
          <w:color w:val="000000"/>
          <w:sz w:val="20"/>
          <w:szCs w:val="20"/>
        </w:rPr>
        <w:t>(J akarta: Erlangga, 2010), p. 55.</w:t>
      </w:r>
    </w:p>
  </w:footnote>
  <w:footnote w:id="24">
    <w:p w:rsidR="000547B9" w:rsidRPr="001E319E" w:rsidRDefault="000547B9" w:rsidP="001E319E">
      <w:pPr>
        <w:pStyle w:val="NormalWeb"/>
        <w:spacing w:before="0" w:beforeAutospacing="0" w:after="0" w:afterAutospacing="0"/>
        <w:ind w:firstLine="709"/>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Kot ler, Phillip &amp; Garry Armstrong, </w:t>
      </w:r>
      <w:r w:rsidRPr="001E319E">
        <w:rPr>
          <w:i/>
          <w:iCs/>
          <w:color w:val="000000"/>
          <w:sz w:val="20"/>
          <w:szCs w:val="20"/>
        </w:rPr>
        <w:t>Principles of Marketing </w:t>
      </w:r>
      <w:r w:rsidRPr="001E319E">
        <w:rPr>
          <w:color w:val="000000"/>
          <w:sz w:val="20"/>
          <w:szCs w:val="20"/>
        </w:rPr>
        <w:t>. 11th Edition, (Prentice Hall International Inc. New Jersey. 2006), p. 42.</w:t>
      </w:r>
    </w:p>
  </w:footnote>
  <w:footnote w:id="25">
    <w:p w:rsidR="000547B9" w:rsidRPr="001E319E" w:rsidRDefault="000547B9"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Tjiptono, Fandy, </w:t>
      </w:r>
      <w:r w:rsidRPr="001E319E">
        <w:rPr>
          <w:i/>
          <w:iCs/>
          <w:color w:val="000000"/>
          <w:sz w:val="20"/>
          <w:szCs w:val="20"/>
        </w:rPr>
        <w:t>Service Marketing </w:t>
      </w:r>
      <w:r w:rsidRPr="001E319E">
        <w:rPr>
          <w:color w:val="000000"/>
          <w:sz w:val="20"/>
          <w:szCs w:val="20"/>
        </w:rPr>
        <w:t>(Malang: Bayu Media Publishing, 2006) , p. 349 .</w:t>
      </w:r>
    </w:p>
  </w:footnote>
  <w:footnote w:id="26">
    <w:p w:rsidR="000547B9" w:rsidRPr="001E319E" w:rsidRDefault="000547B9"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Herry Ahmad Buchory and Djaslim Saladin, </w:t>
      </w:r>
      <w:r w:rsidRPr="001E319E">
        <w:rPr>
          <w:i/>
          <w:iCs/>
          <w:color w:val="000000"/>
          <w:sz w:val="20"/>
          <w:szCs w:val="20"/>
        </w:rPr>
        <w:t>Basics of Bank Marketing </w:t>
      </w:r>
      <w:r w:rsidRPr="001E319E">
        <w:rPr>
          <w:color w:val="000000"/>
          <w:sz w:val="20"/>
          <w:szCs w:val="20"/>
        </w:rPr>
        <w:t>, (Bandung: Linda Karya, 20 06), p . 115</w:t>
      </w:r>
    </w:p>
  </w:footnote>
  <w:footnote w:id="27">
    <w:p w:rsidR="000547B9" w:rsidRPr="001E319E" w:rsidRDefault="000547B9"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Kasim, Mohd Norizan., And Abdel Kader Mohammed Ahmed Abdulla (2006) "The Influence Of Attraction On Internet Banking: An Extension To The Trustrelationship Commitment Model", </w:t>
      </w:r>
      <w:r w:rsidRPr="001E319E">
        <w:rPr>
          <w:i/>
          <w:iCs/>
          <w:color w:val="000000"/>
          <w:sz w:val="20"/>
          <w:szCs w:val="20"/>
        </w:rPr>
        <w:t>International Journal of Bank Marketing </w:t>
      </w:r>
      <w:r w:rsidRPr="001E319E">
        <w:rPr>
          <w:color w:val="000000"/>
          <w:sz w:val="20"/>
          <w:szCs w:val="20"/>
        </w:rPr>
        <w:t>, Vol. 24 No. 6, p . 424-442</w:t>
      </w:r>
    </w:p>
  </w:footnote>
  <w:footnote w:id="28">
    <w:p w:rsidR="000547B9" w:rsidRPr="001E319E" w:rsidRDefault="000547B9"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Zahay, Debra., And, Abbie Griffin (2004), "Customer Learning Processes, Strategy Selection, And Performance In Business To Business Service Firms" </w:t>
      </w:r>
      <w:r w:rsidRPr="001E319E">
        <w:rPr>
          <w:rFonts w:ascii="Times New Roman" w:hAnsi="Times New Roman" w:cs="Times New Roman"/>
          <w:i/>
          <w:iCs/>
          <w:color w:val="000000"/>
        </w:rPr>
        <w:t>Decision Sciences </w:t>
      </w:r>
      <w:r w:rsidRPr="001E319E">
        <w:rPr>
          <w:rFonts w:ascii="Times New Roman" w:hAnsi="Times New Roman" w:cs="Times New Roman"/>
          <w:color w:val="000000"/>
        </w:rPr>
        <w:t>, Vol. 35 No. 2, h . 169-203</w:t>
      </w:r>
    </w:p>
  </w:footnote>
  <w:footnote w:id="29">
    <w:p w:rsidR="000547B9" w:rsidRPr="001E319E" w:rsidRDefault="000547B9"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Jones, Tim., And, Shirley F. Taylor (2007), "The Conceptual Domain Of Service Loyalty: How Many Dimensions", </w:t>
      </w:r>
      <w:r w:rsidRPr="001E319E">
        <w:rPr>
          <w:i/>
          <w:iCs/>
          <w:color w:val="000000"/>
          <w:sz w:val="20"/>
          <w:szCs w:val="20"/>
        </w:rPr>
        <w:t>Journal of Service Marketing </w:t>
      </w:r>
      <w:r w:rsidRPr="001E319E">
        <w:rPr>
          <w:color w:val="000000"/>
          <w:sz w:val="20"/>
          <w:szCs w:val="20"/>
        </w:rPr>
        <w:t>, Vol. 21 No. 1 , h . 36-51</w:t>
      </w:r>
    </w:p>
  </w:footnote>
  <w:footnote w:id="30">
    <w:p w:rsidR="000547B9" w:rsidRPr="001E319E" w:rsidRDefault="000547B9"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Gounaris, Spiros P., Vlassis Stathakopoulos., And, Antreas D. Athanassopoulos (2003), "Antecedents to Perceived Service Quality : An Exploratory Study In The Banking Industry", </w:t>
      </w:r>
      <w:r w:rsidRPr="001E319E">
        <w:rPr>
          <w:rFonts w:ascii="Times New Roman" w:hAnsi="Times New Roman" w:cs="Times New Roman"/>
          <w:i/>
          <w:iCs/>
          <w:color w:val="000000"/>
        </w:rPr>
        <w:t>International Journal of Bank Marketing </w:t>
      </w:r>
      <w:r w:rsidRPr="001E319E">
        <w:rPr>
          <w:rFonts w:ascii="Times New Roman" w:hAnsi="Times New Roman" w:cs="Times New Roman"/>
          <w:color w:val="000000"/>
        </w:rPr>
        <w:t>, Vol. 21 No. 4, p . 168-190</w:t>
      </w:r>
    </w:p>
  </w:footnote>
  <w:footnote w:id="31">
    <w:p w:rsidR="0024522B" w:rsidRPr="001E319E" w:rsidRDefault="0024522B"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Yep, Kenneth B., and, Jillian C. Sweeney (2007), "Zone-Of-Tolerance Moderates The Service Quality-Outcome Relationship" </w:t>
      </w:r>
      <w:r w:rsidRPr="001E319E">
        <w:rPr>
          <w:rFonts w:ascii="Times New Roman" w:hAnsi="Times New Roman" w:cs="Times New Roman"/>
          <w:i/>
          <w:iCs/>
          <w:color w:val="000000"/>
        </w:rPr>
        <w:t>Journal of Service Quality </w:t>
      </w:r>
      <w:r w:rsidRPr="001E319E">
        <w:rPr>
          <w:rFonts w:ascii="Times New Roman" w:hAnsi="Times New Roman" w:cs="Times New Roman"/>
          <w:color w:val="000000"/>
        </w:rPr>
        <w:t>, Vol. 21 No. 2 , h . 137-148</w:t>
      </w:r>
    </w:p>
  </w:footnote>
  <w:footnote w:id="32">
    <w:p w:rsidR="0024522B" w:rsidRPr="001E319E" w:rsidRDefault="0024522B"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Tseng, Yi Ming, (2007), "The Impacts Of Relationship Marketing Tactics On Relationship Quality In Service Industry", </w:t>
      </w:r>
      <w:r w:rsidRPr="001E319E">
        <w:rPr>
          <w:rFonts w:ascii="Times New Roman" w:hAnsi="Times New Roman" w:cs="Times New Roman"/>
          <w:i/>
          <w:iCs/>
          <w:color w:val="000000"/>
        </w:rPr>
        <w:t>The Business Review </w:t>
      </w:r>
      <w:r w:rsidRPr="001E319E">
        <w:rPr>
          <w:rFonts w:ascii="Times New Roman" w:hAnsi="Times New Roman" w:cs="Times New Roman"/>
          <w:color w:val="000000"/>
        </w:rPr>
        <w:t>, Vol. 7 No. 2, h . 310-314</w:t>
      </w:r>
    </w:p>
  </w:footnote>
  <w:footnote w:id="33">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Dash, Satyabhusan., Ed Bruning., And, Kalyan Ku Guin (2006), "The Moderating Effect Of Power Distance On Perceived Interdependence And Relationship Quality In Commercial Banking", </w:t>
      </w:r>
      <w:r w:rsidRPr="001E319E">
        <w:rPr>
          <w:i/>
          <w:iCs/>
          <w:color w:val="000000"/>
          <w:sz w:val="20"/>
          <w:szCs w:val="20"/>
        </w:rPr>
        <w:t>International Journal of Bank Marketing </w:t>
      </w:r>
      <w:r w:rsidRPr="001E319E">
        <w:rPr>
          <w:color w:val="000000"/>
          <w:sz w:val="20"/>
          <w:szCs w:val="20"/>
        </w:rPr>
        <w:t>, Vol. 21, No. 5 , h . 307-326</w:t>
      </w:r>
    </w:p>
  </w:footnote>
  <w:footnote w:id="34">
    <w:p w:rsidR="0024522B" w:rsidRPr="001E319E" w:rsidRDefault="0024522B"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Sari and Irine Diana. </w:t>
      </w:r>
      <w:r w:rsidRPr="001E319E">
        <w:rPr>
          <w:rFonts w:ascii="Times New Roman" w:hAnsi="Times New Roman" w:cs="Times New Roman"/>
          <w:i/>
          <w:iCs/>
          <w:color w:val="000000"/>
        </w:rPr>
        <w:t>Health Business Marketing Management </w:t>
      </w:r>
      <w:r w:rsidRPr="001E319E">
        <w:rPr>
          <w:rFonts w:ascii="Times New Roman" w:hAnsi="Times New Roman" w:cs="Times New Roman"/>
          <w:color w:val="000000"/>
        </w:rPr>
        <w:t>(Yogyakarta: Mitra Cendi kia Offset, 2008), p. 52 .</w:t>
      </w:r>
    </w:p>
  </w:footnote>
  <w:footnote w:id="35">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color w:val="000000"/>
          <w:sz w:val="20"/>
          <w:szCs w:val="20"/>
        </w:rPr>
        <w:t>Tjiptono Fandy and Chandra, Gregorius. </w:t>
      </w:r>
      <w:r w:rsidRPr="001E319E">
        <w:rPr>
          <w:i/>
          <w:iCs/>
          <w:color w:val="000000"/>
          <w:sz w:val="20"/>
          <w:szCs w:val="20"/>
        </w:rPr>
        <w:t>Service, Quality, Satisfaction </w:t>
      </w:r>
      <w:r w:rsidRPr="001E319E">
        <w:rPr>
          <w:color w:val="000000"/>
          <w:sz w:val="20"/>
          <w:szCs w:val="20"/>
        </w:rPr>
        <w:t>. (Yogyakarta: Andi , 2007), p. 110.</w:t>
      </w:r>
    </w:p>
  </w:footnote>
  <w:footnote w:id="36">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Sutrino, Edy. </w:t>
      </w:r>
      <w:r w:rsidRPr="001E319E">
        <w:rPr>
          <w:i/>
          <w:iCs/>
          <w:color w:val="000000"/>
          <w:sz w:val="20"/>
          <w:szCs w:val="20"/>
        </w:rPr>
        <w:t>Organizational Culture </w:t>
      </w:r>
      <w:r w:rsidRPr="001E319E">
        <w:rPr>
          <w:color w:val="000000"/>
          <w:sz w:val="20"/>
          <w:szCs w:val="20"/>
        </w:rPr>
        <w:t>(Jakarta: Kencana Prenada Media Group, 2010) , p . 67 .</w:t>
      </w:r>
    </w:p>
  </w:footnote>
  <w:footnote w:id="37">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Moenir, </w:t>
      </w:r>
      <w:r w:rsidRPr="001E319E">
        <w:rPr>
          <w:i/>
          <w:iCs/>
          <w:color w:val="000000"/>
          <w:sz w:val="20"/>
          <w:szCs w:val="20"/>
        </w:rPr>
        <w:t>Public Service Management in Indonesia </w:t>
      </w:r>
      <w:r w:rsidRPr="001E319E">
        <w:rPr>
          <w:color w:val="000000"/>
          <w:sz w:val="20"/>
          <w:szCs w:val="20"/>
        </w:rPr>
        <w:t>(Jakarta, Bumi Aksara , 2002), p. 26</w:t>
      </w:r>
    </w:p>
  </w:footnote>
  <w:footnote w:id="38">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i/>
          <w:iCs/>
          <w:color w:val="000000"/>
          <w:sz w:val="20"/>
          <w:szCs w:val="20"/>
        </w:rPr>
        <w:t>Ibid </w:t>
      </w:r>
      <w:r w:rsidRPr="001E319E">
        <w:rPr>
          <w:color w:val="000000"/>
          <w:sz w:val="20"/>
          <w:szCs w:val="20"/>
        </w:rPr>
        <w:t>., P. 119</w:t>
      </w:r>
    </w:p>
  </w:footnote>
  <w:footnote w:id="39">
    <w:p w:rsidR="0024522B" w:rsidRPr="001E319E" w:rsidRDefault="0024522B"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Ariani Wahyu D, </w:t>
      </w:r>
      <w:r w:rsidRPr="001E319E">
        <w:rPr>
          <w:rFonts w:ascii="Times New Roman" w:hAnsi="Times New Roman" w:cs="Times New Roman"/>
          <w:i/>
          <w:iCs/>
          <w:color w:val="000000"/>
        </w:rPr>
        <w:t>Service Operations Management </w:t>
      </w:r>
      <w:r w:rsidRPr="001E319E">
        <w:rPr>
          <w:rFonts w:ascii="Times New Roman" w:hAnsi="Times New Roman" w:cs="Times New Roman"/>
          <w:color w:val="000000"/>
        </w:rPr>
        <w:t>(Yogyakarta: Graha Ilmu, 2009) , p. 180 .</w:t>
      </w:r>
    </w:p>
  </w:footnote>
  <w:footnote w:id="40">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Sri Widyastuti, </w:t>
      </w:r>
      <w:r w:rsidRPr="001E319E">
        <w:rPr>
          <w:i/>
          <w:iCs/>
          <w:color w:val="000000"/>
          <w:sz w:val="20"/>
          <w:szCs w:val="20"/>
        </w:rPr>
        <w:t>Fostering Customer Familiarity </w:t>
      </w:r>
      <w:r w:rsidRPr="001E319E">
        <w:rPr>
          <w:color w:val="000000"/>
          <w:sz w:val="20"/>
          <w:szCs w:val="20"/>
        </w:rPr>
        <w:t>: </w:t>
      </w:r>
      <w:r w:rsidRPr="001E319E">
        <w:rPr>
          <w:i/>
          <w:iCs/>
          <w:color w:val="000000"/>
          <w:sz w:val="20"/>
          <w:szCs w:val="20"/>
        </w:rPr>
        <w:t>Real Customer Relationship Management </w:t>
      </w:r>
      <w:r w:rsidRPr="001E319E">
        <w:rPr>
          <w:color w:val="000000"/>
          <w:sz w:val="20"/>
          <w:szCs w:val="20"/>
        </w:rPr>
        <w:t>(South Jakarta: Faculty of Economics and Business University , 2016), p. 247</w:t>
      </w:r>
    </w:p>
  </w:footnote>
  <w:footnote w:id="41">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Sri Widyastuti, </w:t>
      </w:r>
      <w:r w:rsidRPr="001E319E">
        <w:rPr>
          <w:i/>
          <w:iCs/>
          <w:color w:val="000000"/>
          <w:sz w:val="20"/>
          <w:szCs w:val="20"/>
        </w:rPr>
        <w:t>Fostering Customer Familiarity </w:t>
      </w:r>
      <w:r w:rsidRPr="001E319E">
        <w:rPr>
          <w:color w:val="000000"/>
          <w:sz w:val="20"/>
          <w:szCs w:val="20"/>
        </w:rPr>
        <w:t>: </w:t>
      </w:r>
      <w:r w:rsidRPr="001E319E">
        <w:rPr>
          <w:i/>
          <w:iCs/>
          <w:color w:val="000000"/>
          <w:sz w:val="20"/>
          <w:szCs w:val="20"/>
        </w:rPr>
        <w:t>Real Customer Relationship Management </w:t>
      </w:r>
      <w:r w:rsidRPr="001E319E">
        <w:rPr>
          <w:color w:val="000000"/>
          <w:sz w:val="20"/>
          <w:szCs w:val="20"/>
        </w:rPr>
        <w:t>., P. 248</w:t>
      </w:r>
    </w:p>
  </w:footnote>
  <w:footnote w:id="42">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Sri Widyastuti, </w:t>
      </w:r>
      <w:r w:rsidRPr="001E319E">
        <w:rPr>
          <w:i/>
          <w:iCs/>
          <w:color w:val="000000"/>
          <w:sz w:val="20"/>
          <w:szCs w:val="20"/>
        </w:rPr>
        <w:t>Fostering Customer Familiarity </w:t>
      </w:r>
      <w:r w:rsidRPr="001E319E">
        <w:rPr>
          <w:color w:val="000000"/>
          <w:sz w:val="20"/>
          <w:szCs w:val="20"/>
        </w:rPr>
        <w:t>: </w:t>
      </w:r>
      <w:r w:rsidRPr="001E319E">
        <w:rPr>
          <w:i/>
          <w:iCs/>
          <w:color w:val="000000"/>
          <w:sz w:val="20"/>
          <w:szCs w:val="20"/>
        </w:rPr>
        <w:t>Real Customer Relationship Management </w:t>
      </w:r>
      <w:r w:rsidRPr="001E319E">
        <w:rPr>
          <w:color w:val="000000"/>
          <w:sz w:val="20"/>
          <w:szCs w:val="20"/>
        </w:rPr>
        <w:t>., P. 249</w:t>
      </w:r>
    </w:p>
  </w:footnote>
  <w:footnote w:id="43">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i/>
          <w:iCs/>
          <w:color w:val="000000"/>
          <w:sz w:val="20"/>
          <w:szCs w:val="20"/>
        </w:rPr>
        <w:t>Ibid </w:t>
      </w:r>
      <w:r w:rsidRPr="001E319E">
        <w:rPr>
          <w:color w:val="000000"/>
          <w:sz w:val="20"/>
          <w:szCs w:val="20"/>
        </w:rPr>
        <w:t>., P. 252</w:t>
      </w:r>
    </w:p>
    <w:p w:rsidR="0024522B" w:rsidRPr="001E319E" w:rsidRDefault="0024522B" w:rsidP="001E319E">
      <w:pPr>
        <w:pStyle w:val="FootnoteText"/>
        <w:jc w:val="both"/>
        <w:rPr>
          <w:rFonts w:ascii="Times New Roman" w:hAnsi="Times New Roman" w:cs="Times New Roman"/>
        </w:rPr>
      </w:pPr>
    </w:p>
  </w:footnote>
  <w:footnote w:id="44">
    <w:p w:rsidR="0024522B" w:rsidRPr="001E319E" w:rsidRDefault="0024522B"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MUI Fatwa No. 25 / DSN-MUI / III / 2002             </w:t>
      </w:r>
    </w:p>
  </w:footnote>
  <w:footnote w:id="45">
    <w:p w:rsidR="0024522B" w:rsidRPr="001E319E" w:rsidRDefault="0024522B" w:rsidP="001E319E">
      <w:pPr>
        <w:pStyle w:val="FootnoteText"/>
        <w:ind w:firstLine="720"/>
        <w:jc w:val="both"/>
        <w:rPr>
          <w:rFonts w:ascii="Times New Roman" w:hAnsi="Times New Roman" w:cs="Times New Roman"/>
          <w:b/>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Government Regulation of the Republic of Indonesia Number 103 of 2000 concerning Public Company (Perum) Pegadaian             </w:t>
      </w:r>
    </w:p>
  </w:footnote>
  <w:footnote w:id="46">
    <w:p w:rsidR="0024522B" w:rsidRPr="001E319E" w:rsidRDefault="0024522B"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Regulation of the Financial Services Authority No. 31 /POJK.05/2016 About Business mortgages             </w:t>
      </w:r>
    </w:p>
  </w:footnote>
  <w:footnote w:id="47">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Zainuddin Ali, </w:t>
      </w:r>
      <w:r w:rsidRPr="001E319E">
        <w:rPr>
          <w:i/>
          <w:iCs/>
          <w:color w:val="000000"/>
          <w:sz w:val="20"/>
          <w:szCs w:val="20"/>
        </w:rPr>
        <w:t>Islamic Economic Law </w:t>
      </w:r>
      <w:r w:rsidRPr="001E319E">
        <w:rPr>
          <w:color w:val="000000"/>
          <w:sz w:val="20"/>
          <w:szCs w:val="20"/>
        </w:rPr>
        <w:t>(Jakarta: Sinar Grafika, 2008), p.47.             </w:t>
      </w:r>
    </w:p>
  </w:footnote>
  <w:footnote w:id="48">
    <w:p w:rsidR="0024522B" w:rsidRPr="001E319E" w:rsidRDefault="0024522B"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Faesal Badroen, </w:t>
      </w:r>
      <w:r w:rsidRPr="001E319E">
        <w:rPr>
          <w:rFonts w:ascii="Times New Roman" w:hAnsi="Times New Roman" w:cs="Times New Roman"/>
          <w:i/>
          <w:iCs/>
          <w:color w:val="000000"/>
        </w:rPr>
        <w:t>Business Ethics in Islam </w:t>
      </w:r>
      <w:r w:rsidRPr="001E319E">
        <w:rPr>
          <w:rFonts w:ascii="Times New Roman" w:hAnsi="Times New Roman" w:cs="Times New Roman"/>
          <w:color w:val="000000"/>
        </w:rPr>
        <w:t>(Jakarta: Kencana, 2007), p. 141.     </w:t>
      </w:r>
    </w:p>
  </w:footnote>
  <w:footnote w:id="49">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Habiburrahim, </w:t>
      </w:r>
      <w:r w:rsidRPr="001E319E">
        <w:rPr>
          <w:i/>
          <w:iCs/>
          <w:color w:val="000000"/>
          <w:sz w:val="20"/>
          <w:szCs w:val="20"/>
        </w:rPr>
        <w:t>The Pocket Book of Sharia Pawnshops. </w:t>
      </w:r>
      <w:r w:rsidRPr="001E319E">
        <w:rPr>
          <w:color w:val="000000"/>
          <w:sz w:val="20"/>
          <w:szCs w:val="20"/>
        </w:rPr>
        <w:t>( East Jakarta: Kuwais, 2012), p. 12.             </w:t>
      </w:r>
    </w:p>
  </w:footnote>
  <w:footnote w:id="50">
    <w:p w:rsidR="0024522B" w:rsidRPr="001E319E" w:rsidRDefault="0024522B" w:rsidP="001E319E">
      <w:pPr>
        <w:pStyle w:val="NormalWeb"/>
        <w:spacing w:before="0" w:beforeAutospacing="0" w:after="0" w:afterAutospacing="0"/>
        <w:ind w:firstLine="720"/>
        <w:jc w:val="both"/>
        <w:rPr>
          <w:color w:val="000000"/>
          <w:sz w:val="20"/>
          <w:szCs w:val="20"/>
        </w:rPr>
      </w:pPr>
      <w:r w:rsidRPr="001E319E">
        <w:rPr>
          <w:rStyle w:val="FootnoteReference"/>
          <w:sz w:val="20"/>
          <w:szCs w:val="20"/>
        </w:rPr>
        <w:footnoteRef/>
      </w:r>
      <w:r w:rsidRPr="001E319E">
        <w:rPr>
          <w:sz w:val="20"/>
          <w:szCs w:val="20"/>
        </w:rPr>
        <w:t xml:space="preserve"> </w:t>
      </w:r>
      <w:r w:rsidRPr="001E319E">
        <w:rPr>
          <w:color w:val="000000"/>
          <w:sz w:val="20"/>
          <w:szCs w:val="20"/>
        </w:rPr>
        <w:t>www.pegadaian.co.id             </w:t>
      </w:r>
    </w:p>
    <w:p w:rsidR="0024522B" w:rsidRPr="001E319E" w:rsidRDefault="0024522B" w:rsidP="001E319E">
      <w:pPr>
        <w:pStyle w:val="FootnoteText"/>
        <w:jc w:val="both"/>
        <w:rPr>
          <w:rFonts w:ascii="Times New Roman" w:hAnsi="Times New Roman" w:cs="Times New Roman"/>
        </w:rPr>
      </w:pPr>
    </w:p>
  </w:footnote>
  <w:footnote w:id="51">
    <w:p w:rsidR="0024522B" w:rsidRPr="001E319E" w:rsidRDefault="0024522B"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Adriyan Sutedi, </w:t>
      </w:r>
      <w:r w:rsidRPr="001E319E">
        <w:rPr>
          <w:rFonts w:ascii="Times New Roman" w:hAnsi="Times New Roman" w:cs="Times New Roman"/>
          <w:i/>
          <w:iCs/>
          <w:color w:val="000000"/>
        </w:rPr>
        <w:t>Sharia Pawn Law </w:t>
      </w:r>
      <w:r w:rsidRPr="001E319E">
        <w:rPr>
          <w:rFonts w:ascii="Times New Roman" w:hAnsi="Times New Roman" w:cs="Times New Roman"/>
          <w:color w:val="000000"/>
        </w:rPr>
        <w:t>( Bandung: CV.Alvabeta, 2011), p . 151         </w:t>
      </w:r>
    </w:p>
  </w:footnote>
  <w:footnote w:id="52">
    <w:p w:rsidR="0024522B" w:rsidRPr="001E319E" w:rsidRDefault="0024522B" w:rsidP="001E319E">
      <w:pPr>
        <w:pStyle w:val="FootnoteText"/>
        <w:ind w:firstLine="720"/>
        <w:jc w:val="both"/>
        <w:rPr>
          <w:rFonts w:ascii="Times New Roman" w:hAnsi="Times New Roman" w:cs="Times New Roman"/>
        </w:rPr>
      </w:pPr>
      <w:r w:rsidRPr="001E319E">
        <w:rPr>
          <w:rStyle w:val="FootnoteReference"/>
          <w:rFonts w:ascii="Times New Roman" w:hAnsi="Times New Roman" w:cs="Times New Roman"/>
        </w:rPr>
        <w:footnoteRef/>
      </w:r>
      <w:r w:rsidRPr="001E319E">
        <w:rPr>
          <w:rFonts w:ascii="Times New Roman" w:hAnsi="Times New Roman" w:cs="Times New Roman"/>
        </w:rPr>
        <w:t xml:space="preserve"> </w:t>
      </w:r>
      <w:r w:rsidRPr="001E319E">
        <w:rPr>
          <w:rFonts w:ascii="Times New Roman" w:hAnsi="Times New Roman" w:cs="Times New Roman"/>
          <w:color w:val="000000"/>
        </w:rPr>
        <w:t>Adriyan Sutedi, </w:t>
      </w:r>
      <w:r w:rsidRPr="001E319E">
        <w:rPr>
          <w:rFonts w:ascii="Times New Roman" w:hAnsi="Times New Roman" w:cs="Times New Roman"/>
          <w:i/>
          <w:iCs/>
          <w:color w:val="000000"/>
        </w:rPr>
        <w:t>Sharia Pawn Law </w:t>
      </w:r>
      <w:r w:rsidRPr="001E319E">
        <w:rPr>
          <w:rFonts w:ascii="Times New Roman" w:hAnsi="Times New Roman" w:cs="Times New Roman"/>
          <w:color w:val="000000"/>
        </w:rPr>
        <w:t>, p . 152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688"/>
    <w:multiLevelType w:val="multilevel"/>
    <w:tmpl w:val="5D36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D707EB"/>
    <w:multiLevelType w:val="hybridMultilevel"/>
    <w:tmpl w:val="E038853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C5948B8"/>
    <w:multiLevelType w:val="hybridMultilevel"/>
    <w:tmpl w:val="5EA43476"/>
    <w:lvl w:ilvl="0" w:tplc="2EBC45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1212CE"/>
    <w:multiLevelType w:val="hybridMultilevel"/>
    <w:tmpl w:val="486CE1C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048187A"/>
    <w:multiLevelType w:val="hybridMultilevel"/>
    <w:tmpl w:val="6C02F4E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44A3E6E"/>
    <w:multiLevelType w:val="hybridMultilevel"/>
    <w:tmpl w:val="88F82D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1">
      <w:start w:val="1"/>
      <w:numFmt w:val="decimal"/>
      <w:lvlText w:val="%3)"/>
      <w:lvlJc w:val="lef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4CA5830"/>
    <w:multiLevelType w:val="multilevel"/>
    <w:tmpl w:val="C56A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1575A0"/>
    <w:multiLevelType w:val="multilevel"/>
    <w:tmpl w:val="CAA234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FF037D"/>
    <w:multiLevelType w:val="hybridMultilevel"/>
    <w:tmpl w:val="0660CAC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FA31431"/>
    <w:multiLevelType w:val="hybridMultilevel"/>
    <w:tmpl w:val="A29A610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7F61B9"/>
    <w:multiLevelType w:val="hybridMultilevel"/>
    <w:tmpl w:val="D4F8C30C"/>
    <w:lvl w:ilvl="0" w:tplc="0421000F">
      <w:start w:val="1"/>
      <w:numFmt w:val="decimal"/>
      <w:lvlText w:val="%1."/>
      <w:lvlJc w:val="left"/>
      <w:pPr>
        <w:ind w:left="360" w:hanging="360"/>
      </w:pPr>
    </w:lvl>
    <w:lvl w:ilvl="1" w:tplc="42260454">
      <w:start w:val="1"/>
      <w:numFmt w:val="decimal"/>
      <w:lvlText w:val="%2."/>
      <w:lvlJc w:val="left"/>
      <w:pPr>
        <w:ind w:left="1080" w:hanging="360"/>
      </w:pPr>
      <w:rPr>
        <w:rFonts w:ascii="Times New Roman" w:eastAsia="Times New Roman" w:hAnsi="Times New Roman" w:cs="Times New Roman"/>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4590656C"/>
    <w:multiLevelType w:val="hybridMultilevel"/>
    <w:tmpl w:val="3716C1A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9C66F4D"/>
    <w:multiLevelType w:val="hybridMultilevel"/>
    <w:tmpl w:val="35D816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4BD74BD6"/>
    <w:multiLevelType w:val="multilevel"/>
    <w:tmpl w:val="370C1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6C23FD"/>
    <w:multiLevelType w:val="hybridMultilevel"/>
    <w:tmpl w:val="91889640"/>
    <w:lvl w:ilvl="0" w:tplc="587E551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52B1491"/>
    <w:multiLevelType w:val="hybridMultilevel"/>
    <w:tmpl w:val="640454A4"/>
    <w:lvl w:ilvl="0" w:tplc="0421000F">
      <w:start w:val="1"/>
      <w:numFmt w:val="decimal"/>
      <w:lvlText w:val="%1."/>
      <w:lvlJc w:val="left"/>
      <w:pPr>
        <w:ind w:left="720" w:hanging="360"/>
      </w:pPr>
    </w:lvl>
    <w:lvl w:ilvl="1" w:tplc="A11889C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886831"/>
    <w:multiLevelType w:val="hybridMultilevel"/>
    <w:tmpl w:val="A30A4622"/>
    <w:lvl w:ilvl="0" w:tplc="0421000F">
      <w:start w:val="1"/>
      <w:numFmt w:val="decimal"/>
      <w:lvlText w:val="%1."/>
      <w:lvlJc w:val="left"/>
      <w:pPr>
        <w:ind w:left="360" w:hanging="360"/>
      </w:pPr>
    </w:lvl>
    <w:lvl w:ilvl="1" w:tplc="0421000F">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71715943"/>
    <w:multiLevelType w:val="hybridMultilevel"/>
    <w:tmpl w:val="13DC54C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E95CFE52">
      <w:start w:val="1"/>
      <w:numFmt w:val="decimal"/>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5F45732"/>
    <w:multiLevelType w:val="hybridMultilevel"/>
    <w:tmpl w:val="D788083C"/>
    <w:lvl w:ilvl="0" w:tplc="04210011">
      <w:start w:val="1"/>
      <w:numFmt w:val="decimal"/>
      <w:lvlText w:val="%1)"/>
      <w:lvlJc w:val="left"/>
      <w:pPr>
        <w:ind w:left="720" w:hanging="360"/>
      </w:pPr>
    </w:lvl>
    <w:lvl w:ilvl="1" w:tplc="42400312">
      <w:start w:val="1"/>
      <w:numFmt w:val="decimal"/>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10"/>
  </w:num>
  <w:num w:numId="5">
    <w:abstractNumId w:val="16"/>
  </w:num>
  <w:num w:numId="6">
    <w:abstractNumId w:val="7"/>
  </w:num>
  <w:num w:numId="7">
    <w:abstractNumId w:val="0"/>
  </w:num>
  <w:num w:numId="8">
    <w:abstractNumId w:val="12"/>
  </w:num>
  <w:num w:numId="9">
    <w:abstractNumId w:val="8"/>
  </w:num>
  <w:num w:numId="10">
    <w:abstractNumId w:val="6"/>
  </w:num>
  <w:num w:numId="11">
    <w:abstractNumId w:val="13"/>
  </w:num>
  <w:num w:numId="12">
    <w:abstractNumId w:val="4"/>
  </w:num>
  <w:num w:numId="13">
    <w:abstractNumId w:val="17"/>
  </w:num>
  <w:num w:numId="14">
    <w:abstractNumId w:val="11"/>
  </w:num>
  <w:num w:numId="15">
    <w:abstractNumId w:val="5"/>
  </w:num>
  <w:num w:numId="16">
    <w:abstractNumId w:val="3"/>
  </w:num>
  <w:num w:numId="17">
    <w:abstractNumId w:val="9"/>
  </w:num>
  <w:num w:numId="18">
    <w:abstractNumId w:val="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13E17"/>
    <w:rsid w:val="000547B9"/>
    <w:rsid w:val="0009528D"/>
    <w:rsid w:val="000B418E"/>
    <w:rsid w:val="000F73C2"/>
    <w:rsid w:val="00105068"/>
    <w:rsid w:val="001E319E"/>
    <w:rsid w:val="0024522B"/>
    <w:rsid w:val="00432E83"/>
    <w:rsid w:val="00481272"/>
    <w:rsid w:val="005072CD"/>
    <w:rsid w:val="00522326"/>
    <w:rsid w:val="00584692"/>
    <w:rsid w:val="00654E1B"/>
    <w:rsid w:val="00706A5E"/>
    <w:rsid w:val="008802D7"/>
    <w:rsid w:val="009616D0"/>
    <w:rsid w:val="00A077B2"/>
    <w:rsid w:val="00A10FB0"/>
    <w:rsid w:val="00A8629A"/>
    <w:rsid w:val="00AE1B92"/>
    <w:rsid w:val="00B3717A"/>
    <w:rsid w:val="00B6517A"/>
    <w:rsid w:val="00BA4746"/>
    <w:rsid w:val="00C13E17"/>
    <w:rsid w:val="00C3265E"/>
    <w:rsid w:val="00C658D5"/>
    <w:rsid w:val="00D06861"/>
    <w:rsid w:val="00E0717B"/>
    <w:rsid w:val="00E33F4B"/>
    <w:rsid w:val="00EC600A"/>
    <w:rsid w:val="00EC7B7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31"/>
        <o:r id="V:Rule8" type="connector" idref="#_x0000_s1036"/>
        <o:r id="V:Rule9" type="connector" idref="#_x0000_s1034"/>
        <o:r id="V:Rule10" type="connector" idref="#_x0000_s1030"/>
        <o:r id="V:Rule11" type="connector" idref="#_x0000_s1035"/>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3E1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FootnoteReference">
    <w:name w:val="footnote reference"/>
    <w:basedOn w:val="DefaultParagraphFont"/>
    <w:uiPriority w:val="99"/>
    <w:semiHidden/>
    <w:unhideWhenUsed/>
    <w:rsid w:val="00C13E17"/>
    <w:rPr>
      <w:vertAlign w:val="superscript"/>
    </w:rPr>
  </w:style>
  <w:style w:type="character" w:styleId="Strong">
    <w:name w:val="Strong"/>
    <w:basedOn w:val="DefaultParagraphFont"/>
    <w:uiPriority w:val="22"/>
    <w:qFormat/>
    <w:rsid w:val="00B6517A"/>
    <w:rPr>
      <w:b/>
      <w:bCs/>
    </w:rPr>
  </w:style>
  <w:style w:type="paragraph" w:styleId="FootnoteText">
    <w:name w:val="footnote text"/>
    <w:basedOn w:val="Normal"/>
    <w:link w:val="FootnoteTextChar"/>
    <w:uiPriority w:val="99"/>
    <w:semiHidden/>
    <w:unhideWhenUsed/>
    <w:rsid w:val="00B65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17A"/>
    <w:rPr>
      <w:sz w:val="20"/>
      <w:szCs w:val="20"/>
    </w:rPr>
  </w:style>
  <w:style w:type="character" w:styleId="Hyperlink">
    <w:name w:val="Hyperlink"/>
    <w:basedOn w:val="DefaultParagraphFont"/>
    <w:uiPriority w:val="99"/>
    <w:semiHidden/>
    <w:unhideWhenUsed/>
    <w:rsid w:val="00C3265E"/>
    <w:rPr>
      <w:color w:val="0000FF"/>
      <w:u w:val="single"/>
    </w:rPr>
  </w:style>
  <w:style w:type="character" w:styleId="Emphasis">
    <w:name w:val="Emphasis"/>
    <w:basedOn w:val="DefaultParagraphFont"/>
    <w:uiPriority w:val="20"/>
    <w:qFormat/>
    <w:rsid w:val="00C3265E"/>
    <w:rPr>
      <w:i/>
      <w:iCs/>
    </w:rPr>
  </w:style>
  <w:style w:type="paragraph" w:styleId="ListParagraph">
    <w:name w:val="List Paragraph"/>
    <w:basedOn w:val="Normal"/>
    <w:uiPriority w:val="34"/>
    <w:qFormat/>
    <w:rsid w:val="00E33F4B"/>
    <w:pPr>
      <w:ind w:left="720"/>
      <w:contextualSpacing/>
    </w:pPr>
  </w:style>
  <w:style w:type="paragraph" w:styleId="Header">
    <w:name w:val="header"/>
    <w:basedOn w:val="Normal"/>
    <w:link w:val="HeaderChar"/>
    <w:uiPriority w:val="99"/>
    <w:semiHidden/>
    <w:unhideWhenUsed/>
    <w:rsid w:val="002452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4522B"/>
  </w:style>
  <w:style w:type="paragraph" w:styleId="Footer">
    <w:name w:val="footer"/>
    <w:basedOn w:val="Normal"/>
    <w:link w:val="FooterChar"/>
    <w:uiPriority w:val="99"/>
    <w:semiHidden/>
    <w:unhideWhenUsed/>
    <w:rsid w:val="0024522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4522B"/>
  </w:style>
</w:styles>
</file>

<file path=word/webSettings.xml><?xml version="1.0" encoding="utf-8"?>
<w:webSettings xmlns:r="http://schemas.openxmlformats.org/officeDocument/2006/relationships" xmlns:w="http://schemas.openxmlformats.org/wordprocessingml/2006/main">
  <w:divs>
    <w:div w:id="142045395">
      <w:bodyDiv w:val="1"/>
      <w:marLeft w:val="0"/>
      <w:marRight w:val="0"/>
      <w:marTop w:val="0"/>
      <w:marBottom w:val="0"/>
      <w:divBdr>
        <w:top w:val="none" w:sz="0" w:space="0" w:color="auto"/>
        <w:left w:val="none" w:sz="0" w:space="0" w:color="auto"/>
        <w:bottom w:val="none" w:sz="0" w:space="0" w:color="auto"/>
        <w:right w:val="none" w:sz="0" w:space="0" w:color="auto"/>
      </w:divBdr>
    </w:div>
    <w:div w:id="406196353">
      <w:bodyDiv w:val="1"/>
      <w:marLeft w:val="0"/>
      <w:marRight w:val="0"/>
      <w:marTop w:val="0"/>
      <w:marBottom w:val="0"/>
      <w:divBdr>
        <w:top w:val="none" w:sz="0" w:space="0" w:color="auto"/>
        <w:left w:val="none" w:sz="0" w:space="0" w:color="auto"/>
        <w:bottom w:val="none" w:sz="0" w:space="0" w:color="auto"/>
        <w:right w:val="none" w:sz="0" w:space="0" w:color="auto"/>
      </w:divBdr>
    </w:div>
    <w:div w:id="522013746">
      <w:bodyDiv w:val="1"/>
      <w:marLeft w:val="0"/>
      <w:marRight w:val="0"/>
      <w:marTop w:val="0"/>
      <w:marBottom w:val="0"/>
      <w:divBdr>
        <w:top w:val="none" w:sz="0" w:space="0" w:color="auto"/>
        <w:left w:val="none" w:sz="0" w:space="0" w:color="auto"/>
        <w:bottom w:val="none" w:sz="0" w:space="0" w:color="auto"/>
        <w:right w:val="none" w:sz="0" w:space="0" w:color="auto"/>
      </w:divBdr>
    </w:div>
    <w:div w:id="939336717">
      <w:bodyDiv w:val="1"/>
      <w:marLeft w:val="0"/>
      <w:marRight w:val="0"/>
      <w:marTop w:val="0"/>
      <w:marBottom w:val="0"/>
      <w:divBdr>
        <w:top w:val="none" w:sz="0" w:space="0" w:color="auto"/>
        <w:left w:val="none" w:sz="0" w:space="0" w:color="auto"/>
        <w:bottom w:val="none" w:sz="0" w:space="0" w:color="auto"/>
        <w:right w:val="none" w:sz="0" w:space="0" w:color="auto"/>
      </w:divBdr>
    </w:div>
    <w:div w:id="1277248731">
      <w:bodyDiv w:val="1"/>
      <w:marLeft w:val="0"/>
      <w:marRight w:val="0"/>
      <w:marTop w:val="0"/>
      <w:marBottom w:val="0"/>
      <w:divBdr>
        <w:top w:val="none" w:sz="0" w:space="0" w:color="auto"/>
        <w:left w:val="none" w:sz="0" w:space="0" w:color="auto"/>
        <w:bottom w:val="none" w:sz="0" w:space="0" w:color="auto"/>
        <w:right w:val="none" w:sz="0" w:space="0" w:color="auto"/>
      </w:divBdr>
    </w:div>
    <w:div w:id="1853759755">
      <w:bodyDiv w:val="1"/>
      <w:marLeft w:val="0"/>
      <w:marRight w:val="0"/>
      <w:marTop w:val="0"/>
      <w:marBottom w:val="0"/>
      <w:divBdr>
        <w:top w:val="none" w:sz="0" w:space="0" w:color="auto"/>
        <w:left w:val="none" w:sz="0" w:space="0" w:color="auto"/>
        <w:bottom w:val="none" w:sz="0" w:space="0" w:color="auto"/>
        <w:right w:val="none" w:sz="0" w:space="0" w:color="auto"/>
      </w:divBdr>
    </w:div>
    <w:div w:id="1993413608">
      <w:bodyDiv w:val="1"/>
      <w:marLeft w:val="0"/>
      <w:marRight w:val="0"/>
      <w:marTop w:val="0"/>
      <w:marBottom w:val="0"/>
      <w:divBdr>
        <w:top w:val="none" w:sz="0" w:space="0" w:color="auto"/>
        <w:left w:val="none" w:sz="0" w:space="0" w:color="auto"/>
        <w:bottom w:val="none" w:sz="0" w:space="0" w:color="auto"/>
        <w:right w:val="none" w:sz="0" w:space="0" w:color="auto"/>
      </w:divBdr>
    </w:div>
    <w:div w:id="21409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busriadi@gmail.com" TargetMode="External"/><Relationship Id="rId13" Type="http://schemas.openxmlformats.org/officeDocument/2006/relationships/hyperlink" Target="http://www.ojk.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jk.go.id/id/kanal/iknb/data-dan-statisti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jk.go.id/id/regulasi/otoritas-jasa-keuangan/peraturan%20ojk/POJK-Usaha-Pergadaia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hyperlink" Target="mailto:rahman_arifin50@yahoo.co.id" TargetMode="External"/><Relationship Id="rId14" Type="http://schemas.openxmlformats.org/officeDocument/2006/relationships/hyperlink" Target="http://www.pegadaian.co.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ranslate.google.com/translate?hl=en&amp;prev=_t&amp;sl=id&amp;tl=en&amp;u=https://www.ojk.go.id/id/kanal/iknb/data-dan-statistik" TargetMode="External"/><Relationship Id="rId1" Type="http://schemas.openxmlformats.org/officeDocument/2006/relationships/hyperlink" Target="https://translate.google.com/translate?hl=en&amp;prev=_t&amp;sl=id&amp;tl=en&amp;u=http://www.ojk.go.id/id/regulasi/otoritas-jasa-keuangan/peratu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FF02B-E207-4514-BCFB-F0385F97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19</Pages>
  <Words>6252</Words>
  <Characters>35639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2020-11-15T07:25:00Z</dcterms:created>
  <dcterms:modified xsi:type="dcterms:W3CDTF">2020-11-15T12:25:00Z</dcterms:modified>
</cp:coreProperties>
</file>