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408" w:rsidRDefault="004B03FF" w:rsidP="00572EFA">
      <w:pPr>
        <w:jc w:val="center"/>
        <w:rPr>
          <w:rFonts w:asciiTheme="majorBidi" w:hAnsiTheme="majorBidi" w:cstheme="majorBidi"/>
          <w:b/>
          <w:bCs/>
          <w:sz w:val="32"/>
          <w:szCs w:val="32"/>
          <w:lang w:val="en-US"/>
        </w:rPr>
      </w:pPr>
      <w:r w:rsidRPr="00572EFA">
        <w:rPr>
          <w:rFonts w:asciiTheme="majorBidi" w:hAnsiTheme="majorBidi" w:cstheme="majorBidi"/>
          <w:b/>
          <w:bCs/>
          <w:sz w:val="32"/>
          <w:szCs w:val="32"/>
          <w:lang w:val="en-US"/>
        </w:rPr>
        <w:t>Ringkasan Temuan Penelitian</w:t>
      </w:r>
    </w:p>
    <w:p w:rsidR="00572EFA" w:rsidRDefault="00572EFA" w:rsidP="00572EFA">
      <w:pPr>
        <w:pStyle w:val="Authors"/>
        <w:rPr>
          <w:vertAlign w:val="superscript"/>
        </w:rPr>
      </w:pPr>
      <w:r>
        <w:t>Annisa Masruri Zaimsyah</w:t>
      </w:r>
      <w:r>
        <w:rPr>
          <w:vertAlign w:val="superscript"/>
        </w:rPr>
        <w:t>a*</w:t>
      </w:r>
      <w:r>
        <w:t>, Sri Herianigrum</w:t>
      </w:r>
      <w:r>
        <w:rPr>
          <w:vertAlign w:val="superscript"/>
        </w:rPr>
        <w:t>b</w:t>
      </w:r>
    </w:p>
    <w:p w:rsidR="00572EFA" w:rsidRDefault="00572EFA" w:rsidP="00572EFA">
      <w:pPr>
        <w:pStyle w:val="Addresses"/>
        <w:spacing w:line="240" w:lineRule="auto"/>
        <w:rPr>
          <w:rFonts w:asciiTheme="majorBidi" w:hAnsiTheme="majorBidi" w:cstheme="majorBidi"/>
          <w:bCs/>
          <w:color w:val="000000"/>
          <w:sz w:val="20"/>
        </w:rPr>
      </w:pPr>
      <w:r>
        <w:rPr>
          <w:rFonts w:asciiTheme="majorBidi" w:hAnsiTheme="majorBidi" w:cstheme="majorBidi"/>
          <w:b/>
          <w:color w:val="000000"/>
          <w:sz w:val="20"/>
          <w:vertAlign w:val="superscript"/>
        </w:rPr>
        <w:t>a</w:t>
      </w:r>
      <w:r>
        <w:rPr>
          <w:rFonts w:asciiTheme="majorBidi" w:hAnsiTheme="majorBidi" w:cstheme="majorBidi"/>
          <w:bCs/>
          <w:color w:val="000000"/>
          <w:sz w:val="20"/>
        </w:rPr>
        <w:t>Sains Ekonomi Islam, Fakultas Ekonomi dan Bisnis, Universitas Airlangga Surabaya</w:t>
      </w:r>
    </w:p>
    <w:p w:rsidR="00572EFA" w:rsidRDefault="00572EFA" w:rsidP="00572EFA">
      <w:pPr>
        <w:pStyle w:val="Addresses"/>
        <w:spacing w:line="240" w:lineRule="auto"/>
        <w:rPr>
          <w:rFonts w:asciiTheme="majorBidi" w:hAnsiTheme="majorBidi" w:cstheme="majorBidi"/>
          <w:color w:val="000000"/>
          <w:sz w:val="20"/>
        </w:rPr>
      </w:pPr>
      <w:r>
        <w:rPr>
          <w:rFonts w:asciiTheme="majorBidi" w:hAnsiTheme="majorBidi" w:cstheme="majorBidi"/>
          <w:bCs/>
          <w:color w:val="000000"/>
          <w:sz w:val="20"/>
          <w:vertAlign w:val="superscript"/>
        </w:rPr>
        <w:t>b</w:t>
      </w:r>
      <w:r>
        <w:rPr>
          <w:rFonts w:asciiTheme="majorBidi" w:hAnsiTheme="majorBidi" w:cstheme="majorBidi"/>
          <w:bCs/>
          <w:color w:val="000000"/>
          <w:sz w:val="20"/>
        </w:rPr>
        <w:t>Depaterment Ekonomi Syariah, Universitas Airlangga Surabaya</w:t>
      </w:r>
    </w:p>
    <w:p w:rsidR="00572EFA" w:rsidRDefault="00572EFA" w:rsidP="00572EFA">
      <w:pPr>
        <w:pStyle w:val="Addresses"/>
        <w:spacing w:line="240" w:lineRule="auto"/>
        <w:rPr>
          <w:rFonts w:asciiTheme="majorBidi" w:hAnsiTheme="majorBidi" w:cstheme="majorBidi"/>
          <w:color w:val="000000"/>
          <w:sz w:val="20"/>
        </w:rPr>
      </w:pPr>
      <w:r>
        <w:rPr>
          <w:rFonts w:asciiTheme="majorBidi" w:hAnsiTheme="majorBidi" w:cstheme="majorBidi"/>
          <w:color w:val="000000"/>
          <w:sz w:val="20"/>
        </w:rPr>
        <w:t>*</w:t>
      </w:r>
      <w:r>
        <w:rPr>
          <w:rFonts w:asciiTheme="majorBidi" w:hAnsiTheme="majorBidi" w:cstheme="majorBidi"/>
          <w:i w:val="0"/>
          <w:iCs/>
          <w:color w:val="000000"/>
          <w:sz w:val="20"/>
        </w:rPr>
        <w:t xml:space="preserve">Email Address: </w:t>
      </w:r>
      <w:r>
        <w:rPr>
          <w:rFonts w:asciiTheme="majorBidi" w:hAnsiTheme="majorBidi" w:cstheme="majorBidi"/>
          <w:color w:val="000000"/>
          <w:sz w:val="20"/>
        </w:rPr>
        <w:t>annisa.masruri.zaimsyah-2018@pasca.unair.ac.id</w:t>
      </w:r>
    </w:p>
    <w:p w:rsidR="00572EFA" w:rsidRDefault="00572EFA" w:rsidP="00572EFA">
      <w:pPr>
        <w:rPr>
          <w:rFonts w:asciiTheme="majorBidi" w:hAnsiTheme="majorBidi" w:cstheme="majorBidi"/>
          <w:b/>
          <w:bCs/>
          <w:sz w:val="32"/>
          <w:szCs w:val="32"/>
          <w:lang w:val="en-US"/>
        </w:rPr>
      </w:pPr>
    </w:p>
    <w:p w:rsidR="00572EFA" w:rsidRPr="00572EFA" w:rsidRDefault="00572EFA" w:rsidP="00572EFA">
      <w:pPr>
        <w:rPr>
          <w:rFonts w:asciiTheme="majorBidi" w:hAnsiTheme="majorBidi" w:cstheme="majorBidi"/>
          <w:b/>
          <w:bCs/>
          <w:sz w:val="24"/>
          <w:szCs w:val="24"/>
          <w:lang w:val="en-US"/>
        </w:rPr>
      </w:pPr>
      <w:r>
        <w:rPr>
          <w:rFonts w:asciiTheme="majorBidi" w:hAnsiTheme="majorBidi" w:cstheme="majorBidi"/>
          <w:b/>
          <w:bCs/>
          <w:sz w:val="24"/>
          <w:szCs w:val="24"/>
          <w:lang w:val="en-US"/>
        </w:rPr>
        <w:t>Temuan Pada Penelitian</w:t>
      </w:r>
    </w:p>
    <w:p w:rsidR="00572EFA" w:rsidRDefault="004B03FF" w:rsidP="00572EFA">
      <w:pPr>
        <w:ind w:firstLine="567"/>
        <w:jc w:val="both"/>
        <w:rPr>
          <w:rFonts w:asciiTheme="majorBidi" w:hAnsiTheme="majorBidi" w:cstheme="majorBidi"/>
          <w:color w:val="000000"/>
          <w:sz w:val="24"/>
          <w:szCs w:val="24"/>
        </w:rPr>
      </w:pPr>
      <w:r w:rsidRPr="00572EFA">
        <w:rPr>
          <w:rFonts w:asciiTheme="majorBidi" w:hAnsiTheme="majorBidi" w:cstheme="majorBidi"/>
          <w:sz w:val="24"/>
          <w:szCs w:val="24"/>
        </w:rPr>
        <w:t xml:space="preserve">Uji F dilakukan untuk melihat pengaruh variabel indepenmden terhadap variabel dependen secara bersamaan. </w:t>
      </w:r>
      <w:r w:rsidR="00572EFA">
        <w:rPr>
          <w:rFonts w:asciiTheme="majorBidi" w:hAnsiTheme="majorBidi" w:cstheme="majorBidi"/>
          <w:sz w:val="24"/>
          <w:szCs w:val="24"/>
          <w:lang w:val="en-US"/>
        </w:rPr>
        <w:t>H</w:t>
      </w:r>
      <w:r w:rsidRPr="00572EFA">
        <w:rPr>
          <w:rFonts w:asciiTheme="majorBidi" w:hAnsiTheme="majorBidi" w:cstheme="majorBidi"/>
          <w:sz w:val="24"/>
          <w:szCs w:val="24"/>
        </w:rPr>
        <w:t xml:space="preserve">asil uji F sebesar 34.48975 dengan tingkat prob 0.0000, maka variabel Faktor-faktor yang mempengaruhi pembiayaan UMKM secara simultan berpengaruh positif. Ini menunjukkan bahwa perubahan keseluruhan dalam Inflasi, Nilai Tukar, BI </w:t>
      </w:r>
      <w:r w:rsidRPr="00572EFA">
        <w:rPr>
          <w:rFonts w:asciiTheme="majorBidi" w:hAnsiTheme="majorBidi" w:cstheme="majorBidi"/>
          <w:i/>
          <w:iCs/>
          <w:sz w:val="24"/>
          <w:szCs w:val="24"/>
        </w:rPr>
        <w:t xml:space="preserve">Rate, </w:t>
      </w:r>
      <w:r w:rsidRPr="00572EFA">
        <w:rPr>
          <w:rFonts w:asciiTheme="majorBidi" w:hAnsiTheme="majorBidi" w:cstheme="majorBidi"/>
          <w:sz w:val="24"/>
          <w:szCs w:val="24"/>
        </w:rPr>
        <w:t xml:space="preserve">ROA, CAR, BOPO, dan NPF mempengaruhi penyaluran pembiayaan Bank Syariah kepada UMKM secara signifikan. Perubahan kondisi makroekonomi (Faktor Eksternal) secara tidak langsung berdampak pada kondisi internal perbankan syariah, yang pada gilirannya akan berdampak pada fungsiintermediasi perbankan syariah dalam hal penyediaan pembiayaan, terutama sektor UMKM.  </w:t>
      </w:r>
      <w:r w:rsidRPr="00572EFA">
        <w:rPr>
          <w:rFonts w:asciiTheme="majorBidi" w:hAnsiTheme="majorBidi" w:cstheme="majorBidi"/>
          <w:i/>
          <w:iCs/>
          <w:sz w:val="24"/>
          <w:szCs w:val="24"/>
        </w:rPr>
        <w:t xml:space="preserve">R Squared </w:t>
      </w:r>
      <w:r w:rsidRPr="00572EFA">
        <w:rPr>
          <w:rFonts w:asciiTheme="majorBidi" w:hAnsiTheme="majorBidi" w:cstheme="majorBidi"/>
          <w:sz w:val="24"/>
          <w:szCs w:val="24"/>
        </w:rPr>
        <w:t xml:space="preserve">atau koefisien Determinasi adalah sebesar 0.843998 atau 84.3998% yang berarti factor-faktor yang mempengaruhi pembiayaan UMKM sebesar 81.3998% sedangkan </w:t>
      </w:r>
      <w:r w:rsidRPr="00572EFA">
        <w:rPr>
          <w:rFonts w:asciiTheme="majorBidi" w:hAnsiTheme="majorBidi" w:cstheme="majorBidi"/>
          <w:color w:val="000000"/>
          <w:sz w:val="24"/>
          <w:szCs w:val="24"/>
        </w:rPr>
        <w:t>18.6002% dipengaruhi oleh variabel lain yang tida</w:t>
      </w:r>
      <w:r w:rsidR="00572EFA">
        <w:rPr>
          <w:rFonts w:asciiTheme="majorBidi" w:hAnsiTheme="majorBidi" w:cstheme="majorBidi"/>
          <w:color w:val="000000"/>
          <w:sz w:val="24"/>
          <w:szCs w:val="24"/>
        </w:rPr>
        <w:t>k diteliti dalam penelitian ini</w:t>
      </w:r>
    </w:p>
    <w:p w:rsidR="00572EFA" w:rsidRDefault="004B03FF" w:rsidP="00572EFA">
      <w:pPr>
        <w:ind w:firstLine="567"/>
        <w:jc w:val="both"/>
        <w:rPr>
          <w:rFonts w:asciiTheme="majorBidi" w:hAnsiTheme="majorBidi" w:cstheme="majorBidi"/>
          <w:color w:val="000000"/>
          <w:sz w:val="24"/>
          <w:szCs w:val="24"/>
        </w:rPr>
      </w:pPr>
      <w:r w:rsidRPr="00572EFA">
        <w:rPr>
          <w:rFonts w:asciiTheme="majorBidi" w:hAnsiTheme="majorBidi" w:cstheme="majorBidi"/>
          <w:color w:val="000000"/>
          <w:sz w:val="24"/>
          <w:szCs w:val="24"/>
        </w:rPr>
        <w:t>Uji t dilakukan untuk melihat pengaruh variabel independen terhadap variabel dependen secara parsial. Jika nilai signifikan kurang dari 5% maka akan menunjukkan H1 diterima dan H0 ditolak. Ini berarti ada pengaruh yang signifikan dari variabel independen terhadap variabel dependen.</w:t>
      </w:r>
    </w:p>
    <w:p w:rsidR="004B03FF" w:rsidRPr="00572EFA" w:rsidRDefault="004B03FF" w:rsidP="00572EFA">
      <w:pPr>
        <w:ind w:firstLine="567"/>
        <w:jc w:val="both"/>
        <w:rPr>
          <w:rFonts w:asciiTheme="majorBidi" w:hAnsiTheme="majorBidi" w:cstheme="majorBidi"/>
          <w:color w:val="000000"/>
          <w:sz w:val="24"/>
          <w:szCs w:val="24"/>
        </w:rPr>
      </w:pPr>
      <w:r w:rsidRPr="00572EFA">
        <w:rPr>
          <w:rFonts w:asciiTheme="majorBidi" w:hAnsiTheme="majorBidi" w:cstheme="majorBidi"/>
          <w:sz w:val="24"/>
          <w:szCs w:val="24"/>
        </w:rPr>
        <w:t xml:space="preserve">5 variabel berada pada tingkat signifikan 0.05 yaitu variabel Inflasi, Nilai Tukar, CAR, BOPO, dan NPF. Sedangkan Variabel BI </w:t>
      </w:r>
      <w:r w:rsidRPr="00572EFA">
        <w:rPr>
          <w:rFonts w:asciiTheme="majorBidi" w:hAnsiTheme="majorBidi" w:cstheme="majorBidi"/>
          <w:i/>
          <w:iCs/>
          <w:sz w:val="24"/>
          <w:szCs w:val="24"/>
        </w:rPr>
        <w:t>Rate</w:t>
      </w:r>
      <w:r w:rsidRPr="00572EFA">
        <w:rPr>
          <w:rFonts w:asciiTheme="majorBidi" w:hAnsiTheme="majorBidi" w:cstheme="majorBidi"/>
          <w:sz w:val="24"/>
          <w:szCs w:val="24"/>
        </w:rPr>
        <w:t>, ROA dan NPF memiliki pengaruh yang negatif terhadap Penyaluran Pembiayaan Bank Syariah kepada UMKM. Hasil uji t penelitian ini dapat dijelaskan sebagai berikut:</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t>Pengaruh Inflasi terhadap Penyaluran Pembiayaan UMKM</w:t>
      </w:r>
    </w:p>
    <w:p w:rsidR="004B03FF" w:rsidRPr="00572EFA" w:rsidRDefault="00572EFA" w:rsidP="004B03FF">
      <w:pPr>
        <w:spacing w:line="276" w:lineRule="auto"/>
        <w:ind w:firstLine="567"/>
        <w:jc w:val="both"/>
        <w:rPr>
          <w:rFonts w:asciiTheme="majorBidi" w:hAnsiTheme="majorBidi" w:cstheme="majorBidi"/>
          <w:color w:val="000000"/>
          <w:sz w:val="24"/>
          <w:szCs w:val="24"/>
        </w:rPr>
      </w:pPr>
      <w:r>
        <w:rPr>
          <w:rFonts w:asciiTheme="majorBidi" w:hAnsiTheme="majorBidi" w:cstheme="majorBidi"/>
          <w:iCs/>
          <w:sz w:val="24"/>
          <w:szCs w:val="24"/>
          <w:lang w:val="en-US"/>
        </w:rPr>
        <w:t>V</w:t>
      </w:r>
      <w:r w:rsidR="004B03FF" w:rsidRPr="00572EFA">
        <w:rPr>
          <w:rFonts w:asciiTheme="majorBidi" w:hAnsiTheme="majorBidi" w:cstheme="majorBidi"/>
          <w:iCs/>
          <w:sz w:val="24"/>
          <w:szCs w:val="24"/>
        </w:rPr>
        <w:t xml:space="preserve">ariabel inflasi menunjukkan hasil yang signifikan secara statistik dengan nilai signifikan sebesar 0.0241 &lt; 0.05. Sedangkan nilai t hitung variabel Inflasi adalah </w:t>
      </w:r>
      <w:r w:rsidR="004B03FF" w:rsidRPr="00572EFA">
        <w:rPr>
          <w:rFonts w:asciiTheme="majorBidi" w:hAnsiTheme="majorBidi" w:cstheme="majorBidi"/>
          <w:color w:val="000000"/>
          <w:sz w:val="24"/>
          <w:szCs w:val="24"/>
        </w:rPr>
        <w:t>2.324665 sehingga dapat dikatakan H1 diterima. Hasil penelitian ini sejalan dengan penelitian yang Amelia (2017) yang mengatakan inflasi berpengaruh terhadap penyaluran pembiayaan. Hasil ini juga didukung oleh penelitian Ali (2015) yang menemukan inflasi berpengaruh terhadap kredit pada perbankan. Inflasi yang tinggi tidak terkendali dapat mengganggu upaya perbankan dalam menyalurkan dana kepada publik. Tingkat inflasi yang tinggi akan membuat suku bunga turun. Turunnya tingkat bunga riil mepengaruhi dua hal, yaitu berkurangnya keinginan masyarakat untuk menabung dan tingkat bunga riil yang relative rendah dibandingkan dengan tingkat bunga rill diluar negeri yang bisa mengakibatkan aliran modal asing.</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lastRenderedPageBreak/>
        <w:t>Pengaruh BI Rate terhadap Penyaluran Pembiayaan UMKM</w:t>
      </w:r>
    </w:p>
    <w:p w:rsidR="004B03FF" w:rsidRPr="00572EFA" w:rsidRDefault="00572EFA" w:rsidP="00572EFA">
      <w:pPr>
        <w:spacing w:line="276" w:lineRule="auto"/>
        <w:ind w:firstLine="567"/>
        <w:jc w:val="both"/>
        <w:rPr>
          <w:rFonts w:asciiTheme="majorBidi" w:hAnsiTheme="majorBidi" w:cstheme="majorBidi"/>
          <w:iCs/>
          <w:sz w:val="24"/>
          <w:szCs w:val="24"/>
        </w:rPr>
      </w:pPr>
      <w:r>
        <w:rPr>
          <w:rFonts w:asciiTheme="majorBidi" w:hAnsiTheme="majorBidi" w:cstheme="majorBidi"/>
          <w:iCs/>
          <w:sz w:val="24"/>
          <w:szCs w:val="24"/>
          <w:lang w:val="en-US"/>
        </w:rPr>
        <w:t>V</w:t>
      </w:r>
      <w:r w:rsidR="004B03FF" w:rsidRPr="00572EFA">
        <w:rPr>
          <w:rFonts w:asciiTheme="majorBidi" w:hAnsiTheme="majorBidi" w:cstheme="majorBidi"/>
          <w:iCs/>
          <w:sz w:val="24"/>
          <w:szCs w:val="24"/>
        </w:rPr>
        <w:t xml:space="preserve">ariabel BI Rate menunjukkan hasil yang tidak berpengaruh terhadap penyaluran pembiayaan bank syariah terhadap UMKM. Sehingga H2 ditolak karena tidak signifikan antara BI Rate terhadap Penyaluran pembiayaan UMKM di Bank Syariah. Tidak berpengaruhnya BI Rate terhadap penyaluran pembiayaan kepada UMKM bisa disebabkan Bank Syariah tidak menggunakan suku bunga akan tetapi menggunakan prinsip bagi hasil atau </w:t>
      </w:r>
      <w:r w:rsidR="004B03FF" w:rsidRPr="00572EFA">
        <w:rPr>
          <w:rFonts w:asciiTheme="majorBidi" w:hAnsiTheme="majorBidi" w:cstheme="majorBidi"/>
          <w:i/>
          <w:sz w:val="24"/>
          <w:szCs w:val="24"/>
        </w:rPr>
        <w:t>Profit Loss Sharing</w:t>
      </w:r>
      <w:r w:rsidR="004B03FF" w:rsidRPr="00572EFA">
        <w:rPr>
          <w:rFonts w:asciiTheme="majorBidi" w:hAnsiTheme="majorBidi" w:cstheme="majorBidi"/>
          <w:iCs/>
          <w:sz w:val="24"/>
          <w:szCs w:val="24"/>
        </w:rPr>
        <w:t xml:space="preserve">. </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t>Pengaruh Nilai Tukar terhadap Penyaluran Pembiayaan UMKM</w:t>
      </w:r>
    </w:p>
    <w:p w:rsidR="004B03FF" w:rsidRPr="00572EFA" w:rsidRDefault="004B03FF" w:rsidP="00572EFA">
      <w:pPr>
        <w:spacing w:line="276" w:lineRule="auto"/>
        <w:ind w:firstLine="567"/>
        <w:jc w:val="both"/>
        <w:rPr>
          <w:rFonts w:asciiTheme="majorBidi" w:hAnsiTheme="majorBidi" w:cstheme="majorBidi"/>
          <w:iCs/>
          <w:sz w:val="24"/>
          <w:szCs w:val="24"/>
        </w:rPr>
      </w:pPr>
      <w:r w:rsidRPr="00572EFA">
        <w:rPr>
          <w:rFonts w:asciiTheme="majorBidi" w:hAnsiTheme="majorBidi" w:cstheme="majorBidi"/>
          <w:iCs/>
          <w:sz w:val="24"/>
          <w:szCs w:val="24"/>
        </w:rPr>
        <w:t>Pada variabel nilai tuka</w:t>
      </w:r>
      <w:r w:rsidR="00572EFA">
        <w:rPr>
          <w:rFonts w:asciiTheme="majorBidi" w:hAnsiTheme="majorBidi" w:cstheme="majorBidi"/>
          <w:iCs/>
          <w:sz w:val="24"/>
          <w:szCs w:val="24"/>
        </w:rPr>
        <w:t>r didapatkan hasil yang negatif</w:t>
      </w:r>
      <w:r w:rsidR="00572EFA">
        <w:rPr>
          <w:rFonts w:asciiTheme="majorBidi" w:hAnsiTheme="majorBidi" w:cstheme="majorBidi"/>
          <w:iCs/>
          <w:sz w:val="24"/>
          <w:szCs w:val="24"/>
          <w:lang w:val="en-US"/>
        </w:rPr>
        <w:t xml:space="preserve">, </w:t>
      </w:r>
      <w:r w:rsidRPr="00572EFA">
        <w:rPr>
          <w:rFonts w:asciiTheme="majorBidi" w:hAnsiTheme="majorBidi" w:cstheme="majorBidi"/>
          <w:iCs/>
          <w:sz w:val="24"/>
          <w:szCs w:val="24"/>
        </w:rPr>
        <w:t>yaitu nilai signifikan nilai ukar 0.000 lebih kecil dari tingkat signifikan 5%. Variabel Nilai Tukar berpengaruh secara negatif terahadap penyaluran pembiayaan UMKM. Dengan demikian dapat dikatakan H3 diterima. Hasil ini sejalan dengan penelitian yang dilakukan oleh Nahar dan Sarker (2016), dimana peningkatan dari nilai tukar uang suatu Negara akan meningkatkan net impor (lebih tinggi impor dari pada ekspor). Hal ini dapat meningkatkan konsumsi dan akan menurunkan produksi, serta akan berdampak terhadap penurunan volume pembiayaan baik pada bank konvensional maupun pada bank syariah. Dari gambar 3 terlihat grafik pergerakan nilai tukar tidak sejalan dengan pertumbuhan pembiayaan UMKM, nilai tukar relatif bertolak belakang dengan penyaluran pembiayaan di berikan UMKM.</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t>Pengaruh ROA terhadap Penyaluran Pembiayaan UMKM</w:t>
      </w:r>
    </w:p>
    <w:p w:rsidR="004B03FF" w:rsidRPr="00572EFA" w:rsidRDefault="004B03FF" w:rsidP="00572EFA">
      <w:pPr>
        <w:spacing w:line="276" w:lineRule="auto"/>
        <w:ind w:firstLine="567"/>
        <w:jc w:val="both"/>
        <w:rPr>
          <w:rFonts w:asciiTheme="majorBidi" w:hAnsiTheme="majorBidi" w:cstheme="majorBidi"/>
          <w:b/>
          <w:bCs/>
          <w:iCs/>
          <w:sz w:val="24"/>
          <w:szCs w:val="24"/>
        </w:rPr>
      </w:pPr>
      <w:r w:rsidRPr="00572EFA">
        <w:rPr>
          <w:rFonts w:asciiTheme="majorBidi" w:hAnsiTheme="majorBidi" w:cstheme="majorBidi"/>
          <w:iCs/>
          <w:sz w:val="24"/>
          <w:szCs w:val="24"/>
        </w:rPr>
        <w:t xml:space="preserve">ROA pada tingkat signifikan 0.05% tidak berpengaruh. Ini menunjukkan bahwa H4 ditolak. Penelitian ini bertolak belakang dengan penelitian yang dilakukan oleh </w:t>
      </w:r>
      <w:r w:rsidRPr="00572EFA">
        <w:rPr>
          <w:rFonts w:asciiTheme="majorBidi" w:hAnsiTheme="majorBidi" w:cstheme="majorBidi"/>
          <w:sz w:val="24"/>
          <w:szCs w:val="24"/>
        </w:rPr>
        <w:t xml:space="preserve">Alexandari (2015) yang mengatakan ROA berpengaruh positif dan signifikan terhadap penyaluran pembiayaan pada Perbankan. </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t>Pengaruh CAR terhadap Penyaluran Pembiayaan UMKM</w:t>
      </w:r>
    </w:p>
    <w:p w:rsidR="004B03FF" w:rsidRPr="00572EFA" w:rsidRDefault="004B03FF" w:rsidP="00572EFA">
      <w:pPr>
        <w:spacing w:line="276" w:lineRule="auto"/>
        <w:ind w:firstLine="567"/>
        <w:jc w:val="both"/>
        <w:rPr>
          <w:rFonts w:asciiTheme="majorBidi" w:hAnsiTheme="majorBidi" w:cstheme="majorBidi"/>
          <w:b/>
          <w:bCs/>
          <w:iCs/>
          <w:sz w:val="24"/>
          <w:szCs w:val="24"/>
        </w:rPr>
      </w:pPr>
      <w:r w:rsidRPr="00572EFA">
        <w:rPr>
          <w:rFonts w:asciiTheme="majorBidi" w:hAnsiTheme="majorBidi" w:cstheme="majorBidi"/>
          <w:bCs/>
          <w:sz w:val="24"/>
          <w:szCs w:val="24"/>
        </w:rPr>
        <w:t>Hasil tes menunjukkan bahwa nilai signifikan 0.0047 yang lebih kecil dari tingkat signifikan 5%. Hal ini menunjukkan bahwa H5 diterima, CAR memiliki pengaruh yang positif dan signifikan terhadap pertumbuhan pembiayaan UMKM di Bank Syariah di Indonesia. Sehingga dapat dikatakan apabila CAR pada Bank Syariah mengalami kenaikan maka akan berdampak terhadap pertumbuhan pembiayaan kepada UMKM. Hasil ini didukung oleh penelitian Nugroho (2017) yang menemukan CAR berpengaruh positif dan signifikan terhadap penyaluran pembiayaan</w:t>
      </w:r>
      <w:r w:rsidR="00572EFA">
        <w:rPr>
          <w:rFonts w:asciiTheme="majorBidi" w:hAnsiTheme="majorBidi" w:cstheme="majorBidi"/>
          <w:bCs/>
          <w:sz w:val="24"/>
          <w:szCs w:val="24"/>
          <w:lang w:val="en-US"/>
        </w:rPr>
        <w:t xml:space="preserve">. </w:t>
      </w:r>
      <w:r w:rsidRPr="00572EFA">
        <w:rPr>
          <w:rFonts w:asciiTheme="majorBidi" w:hAnsiTheme="majorBidi" w:cstheme="majorBidi"/>
          <w:bCs/>
          <w:sz w:val="24"/>
          <w:szCs w:val="24"/>
        </w:rPr>
        <w:t xml:space="preserve">CAR merupakan rasio kecukupan yang berfungsi menampung resiko kerugian yang mungkin akan dihadapi oleh Bank. Semakin tinggi CAR maka semakin baik pula kemampuan Bank tersebut untuk menanggung resiko baik itu dari pembiayaan maupun aktiva produktif yang beresiko. Sehingga Bank harus tetap meningkatkan CAR agar pertumbuhan pembiayaan terhadap UMKM tetap terus meningkat. </w:t>
      </w:r>
    </w:p>
    <w:p w:rsidR="004B03FF" w:rsidRPr="00572EFA" w:rsidRDefault="004B03FF" w:rsidP="004B03FF">
      <w:pPr>
        <w:spacing w:line="276" w:lineRule="auto"/>
        <w:jc w:val="both"/>
        <w:rPr>
          <w:rFonts w:asciiTheme="majorBidi" w:hAnsiTheme="majorBidi" w:cstheme="majorBidi"/>
          <w:i/>
          <w:sz w:val="24"/>
          <w:szCs w:val="24"/>
        </w:rPr>
      </w:pPr>
      <w:r w:rsidRPr="00572EFA">
        <w:rPr>
          <w:rFonts w:asciiTheme="majorBidi" w:hAnsiTheme="majorBidi" w:cstheme="majorBidi"/>
          <w:i/>
          <w:sz w:val="24"/>
          <w:szCs w:val="24"/>
        </w:rPr>
        <w:t>Pengaruh</w:t>
      </w:r>
      <w:r w:rsidRPr="00572EFA">
        <w:rPr>
          <w:rFonts w:asciiTheme="majorBidi" w:hAnsiTheme="majorBidi" w:cstheme="majorBidi"/>
          <w:b/>
          <w:bCs/>
          <w:i/>
          <w:sz w:val="24"/>
          <w:szCs w:val="24"/>
        </w:rPr>
        <w:t xml:space="preserve"> </w:t>
      </w:r>
      <w:r w:rsidRPr="00572EFA">
        <w:rPr>
          <w:rFonts w:asciiTheme="majorBidi" w:hAnsiTheme="majorBidi" w:cstheme="majorBidi"/>
          <w:i/>
          <w:sz w:val="24"/>
          <w:szCs w:val="24"/>
        </w:rPr>
        <w:t>BOPO terhadap Penyaluran Pembiayaan UMKM</w:t>
      </w:r>
    </w:p>
    <w:p w:rsidR="004B03FF" w:rsidRPr="00572EFA" w:rsidRDefault="004B03FF" w:rsidP="00572EFA">
      <w:pPr>
        <w:spacing w:line="276" w:lineRule="auto"/>
        <w:ind w:firstLine="567"/>
        <w:jc w:val="both"/>
        <w:rPr>
          <w:rFonts w:asciiTheme="majorBidi" w:hAnsiTheme="majorBidi" w:cstheme="majorBidi"/>
          <w:bCs/>
          <w:sz w:val="24"/>
          <w:szCs w:val="24"/>
        </w:rPr>
      </w:pPr>
      <w:r w:rsidRPr="00572EFA">
        <w:rPr>
          <w:rFonts w:asciiTheme="majorBidi" w:hAnsiTheme="majorBidi" w:cstheme="majorBidi"/>
          <w:bCs/>
          <w:sz w:val="24"/>
          <w:szCs w:val="24"/>
        </w:rPr>
        <w:t xml:space="preserve">Hasil tes meninjukkan bahwa nilai bahwa nilai signifikan adalah 0.0325 yang menunjukkan lebih kecil dari 5%. Hal ini membuktikn bahwa H6 diterima.  BOPO berpengaruh positif dan </w:t>
      </w:r>
      <w:r w:rsidRPr="00572EFA">
        <w:rPr>
          <w:rFonts w:asciiTheme="majorBidi" w:hAnsiTheme="majorBidi" w:cstheme="majorBidi"/>
          <w:bCs/>
          <w:sz w:val="24"/>
          <w:szCs w:val="24"/>
        </w:rPr>
        <w:lastRenderedPageBreak/>
        <w:t>signifikan terhadap Penyaluran pembiayaan kepada UMKM di Bank Syariah. Penelitian ini sejalan dengan penelian Purwanto (2018), yang menemukan BOPO memiliki pengaruh yang positif dan signifikan terhadap Pembiayaan</w:t>
      </w:r>
      <w:r w:rsidR="00572EFA">
        <w:rPr>
          <w:rFonts w:asciiTheme="majorBidi" w:hAnsiTheme="majorBidi" w:cstheme="majorBidi"/>
          <w:bCs/>
          <w:sz w:val="24"/>
          <w:szCs w:val="24"/>
          <w:lang w:val="en-US"/>
        </w:rPr>
        <w:t>.</w:t>
      </w:r>
      <w:r w:rsidRPr="00572EFA">
        <w:rPr>
          <w:rFonts w:asciiTheme="majorBidi" w:hAnsiTheme="majorBidi" w:cstheme="majorBidi"/>
          <w:bCs/>
          <w:sz w:val="24"/>
          <w:szCs w:val="24"/>
        </w:rPr>
        <w:t xml:space="preserve"> BOPO harus ditingkatkan oleh Bank Syariah sehingga akan berdampak baik terhadap pendapatan dan juga penyaluran pembiayaan.</w:t>
      </w:r>
    </w:p>
    <w:p w:rsidR="004B03FF" w:rsidRPr="00572EFA" w:rsidRDefault="004B03FF" w:rsidP="004B03FF">
      <w:pPr>
        <w:spacing w:line="276" w:lineRule="auto"/>
        <w:jc w:val="both"/>
        <w:rPr>
          <w:rFonts w:asciiTheme="majorBidi" w:hAnsiTheme="majorBidi" w:cstheme="majorBidi"/>
          <w:sz w:val="24"/>
          <w:szCs w:val="24"/>
        </w:rPr>
      </w:pPr>
      <w:r w:rsidRPr="00572EFA">
        <w:rPr>
          <w:rFonts w:asciiTheme="majorBidi" w:hAnsiTheme="majorBidi" w:cstheme="majorBidi"/>
          <w:i/>
          <w:sz w:val="24"/>
          <w:szCs w:val="24"/>
        </w:rPr>
        <w:t>Pengaruh FDR terhadap Penyaluran Pembiayaan UMKM</w:t>
      </w:r>
    </w:p>
    <w:p w:rsidR="004B03FF" w:rsidRPr="00572EFA" w:rsidRDefault="004B03FF" w:rsidP="00572EFA">
      <w:pPr>
        <w:spacing w:line="276" w:lineRule="auto"/>
        <w:ind w:firstLine="567"/>
        <w:jc w:val="both"/>
        <w:rPr>
          <w:rFonts w:asciiTheme="majorBidi" w:hAnsiTheme="majorBidi" w:cstheme="majorBidi"/>
          <w:color w:val="000000"/>
          <w:sz w:val="24"/>
          <w:szCs w:val="24"/>
        </w:rPr>
      </w:pPr>
      <w:r w:rsidRPr="00572EFA">
        <w:rPr>
          <w:rFonts w:asciiTheme="majorBidi" w:hAnsiTheme="majorBidi" w:cstheme="majorBidi"/>
          <w:bCs/>
          <w:sz w:val="24"/>
          <w:szCs w:val="24"/>
        </w:rPr>
        <w:t xml:space="preserve">Hasil uji t menunjukkan bahwa nilai signifikansi adalah </w:t>
      </w:r>
      <w:r w:rsidRPr="00572EFA">
        <w:rPr>
          <w:rFonts w:asciiTheme="majorBidi" w:hAnsiTheme="majorBidi" w:cstheme="majorBidi"/>
          <w:color w:val="000000"/>
          <w:sz w:val="24"/>
          <w:szCs w:val="24"/>
        </w:rPr>
        <w:t xml:space="preserve">0.4258 yang menunjukkan lebih besar dari 5% sehingga H7 ditolak. </w:t>
      </w:r>
    </w:p>
    <w:p w:rsidR="004B03FF" w:rsidRPr="00572EFA" w:rsidRDefault="004B03FF" w:rsidP="004B03FF">
      <w:pPr>
        <w:spacing w:line="276" w:lineRule="auto"/>
        <w:jc w:val="both"/>
        <w:rPr>
          <w:rFonts w:asciiTheme="majorBidi" w:hAnsiTheme="majorBidi" w:cstheme="majorBidi"/>
          <w:sz w:val="24"/>
          <w:szCs w:val="24"/>
        </w:rPr>
      </w:pPr>
      <w:r w:rsidRPr="00572EFA">
        <w:rPr>
          <w:rFonts w:asciiTheme="majorBidi" w:hAnsiTheme="majorBidi" w:cstheme="majorBidi"/>
          <w:i/>
          <w:sz w:val="24"/>
          <w:szCs w:val="24"/>
        </w:rPr>
        <w:t>Pengaruh NPF terhadap Penyaluran Pembiayaan UMKM</w:t>
      </w:r>
    </w:p>
    <w:p w:rsidR="004B03FF" w:rsidRPr="00572EFA" w:rsidRDefault="004B03FF" w:rsidP="004B03FF">
      <w:pPr>
        <w:spacing w:line="276" w:lineRule="auto"/>
        <w:ind w:firstLine="567"/>
        <w:jc w:val="both"/>
        <w:rPr>
          <w:rFonts w:asciiTheme="majorBidi" w:hAnsiTheme="majorBidi" w:cstheme="majorBidi"/>
          <w:bCs/>
          <w:sz w:val="24"/>
          <w:szCs w:val="24"/>
        </w:rPr>
      </w:pPr>
      <w:r w:rsidRPr="00572EFA">
        <w:rPr>
          <w:rFonts w:asciiTheme="majorBidi" w:hAnsiTheme="majorBidi" w:cstheme="majorBidi"/>
          <w:bCs/>
          <w:sz w:val="24"/>
          <w:szCs w:val="24"/>
        </w:rPr>
        <w:t xml:space="preserve">Hasil uji t menunjukkan bahwa nilai signifikan NPF adalah 0.0005 yang menunjukkan lebih kecil dari 5%, sehingga dapat dikatan NPF berpengaruh secara negatif terhadap pertumbuhan pembiayaan UMKM pada Bank Syariah di Indonesia, sehingga dapat dikatakan H8 diterima. Hasil ini didukung oleh peneitian yang dilakukan Nugroho (2017), menemukan bahwa NPF berpengaruh negatif terhadap pembiayaan modal kerja. Dalam hal ini, setelah pembiayaan diberikan, maka bank-bank diwajibkan untuk memantau penggunaan dana dan kemampuan kepatuhan dan pelanggan untuk memenuhi kewajiban. Semakin rendah NPF maka akan semakin baik pembiayaan yang diberikan kepada nasabah termasuk pembiayaan terhadap UMKM. </w:t>
      </w:r>
    </w:p>
    <w:p w:rsidR="004B03FF" w:rsidRDefault="004B03FF" w:rsidP="004B03FF">
      <w:pPr>
        <w:rPr>
          <w:rFonts w:asciiTheme="majorBidi" w:hAnsiTheme="majorBidi" w:cstheme="majorBidi"/>
          <w:sz w:val="24"/>
          <w:szCs w:val="24"/>
          <w:lang w:val="en-US"/>
        </w:rPr>
      </w:pPr>
    </w:p>
    <w:p w:rsidR="00572EFA" w:rsidRPr="00572EFA" w:rsidRDefault="00572EFA" w:rsidP="004B03FF">
      <w:pPr>
        <w:rPr>
          <w:rFonts w:asciiTheme="majorBidi" w:hAnsiTheme="majorBidi" w:cstheme="majorBidi"/>
          <w:b/>
          <w:bCs/>
          <w:sz w:val="24"/>
          <w:szCs w:val="24"/>
          <w:lang w:val="en-US"/>
        </w:rPr>
      </w:pPr>
      <w:r w:rsidRPr="00572EFA">
        <w:rPr>
          <w:rFonts w:asciiTheme="majorBidi" w:hAnsiTheme="majorBidi" w:cstheme="majorBidi"/>
          <w:b/>
          <w:bCs/>
          <w:sz w:val="24"/>
          <w:szCs w:val="24"/>
          <w:lang w:val="en-US"/>
        </w:rPr>
        <w:t>Hasil Uji Eviews</w:t>
      </w:r>
    </w:p>
    <w:p w:rsidR="00572EFA" w:rsidRDefault="00572EFA" w:rsidP="00572EF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Hipotesis</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UMKM</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Least Squares</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09/22/19   Time: 16:50</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2014M01 2018M12</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60</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113921.4</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81375.89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1.399940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0.1676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2409.736</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1036.595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2.324665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0.0241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366.0391</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1829.989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0.200023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0.8423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-13.22132</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2.527352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-5.231295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0.0000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-8174.682</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4398.792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-1.858392</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0.0689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3805.678</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1286.051</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2.959197</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0.0047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618.6722</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285.8738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2.164145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0.0352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382.6111</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476.5987</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0.802795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0.4258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-10006.74</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2671.125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-3.746266</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0.0005</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0.843998</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50635.95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0.819527</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17105.09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7266.611</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20.75745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2.69E+09</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21.07160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-613.7235</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20.88033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34.48975</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1.553705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0.000000</w:t>
            </w:r>
          </w:p>
        </w:tc>
        <w:tc>
          <w:tcPr>
            <w:tcW w:w="1207"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highlight w:val="yellow"/>
              </w:rPr>
            </w:pPr>
          </w:p>
        </w:tc>
        <w:tc>
          <w:tcPr>
            <w:tcW w:w="1208"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bl>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Normalitas</w:t>
      </w:r>
    </w:p>
    <w:p w:rsidR="00572EFA" w:rsidRDefault="00572EFA" w:rsidP="00572EFA">
      <w:pPr>
        <w:spacing w:line="240" w:lineRule="auto"/>
        <w:jc w:val="both"/>
        <w:rPr>
          <w:rFonts w:ascii="Times New Roman" w:hAnsi="Times New Roman" w:cs="Times New Roman"/>
          <w:b/>
          <w:bCs/>
          <w:sz w:val="24"/>
          <w:szCs w:val="24"/>
        </w:rPr>
      </w:pPr>
      <w:r>
        <w:rPr>
          <w:noProof/>
        </w:rPr>
        <w:drawing>
          <wp:inline distT="0" distB="0" distL="0" distR="0" wp14:anchorId="1B0FB3E2" wp14:editId="44749907">
            <wp:extent cx="4010025" cy="16668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666875"/>
                    </a:xfrm>
                    <a:prstGeom prst="rect">
                      <a:avLst/>
                    </a:prstGeom>
                    <a:noFill/>
                    <a:ln>
                      <a:noFill/>
                    </a:ln>
                  </pic:spPr>
                </pic:pic>
              </a:graphicData>
            </a:graphic>
          </wp:inline>
        </w:drawing>
      </w:r>
    </w:p>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Heteroskedasitas</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819"/>
        <w:gridCol w:w="1208"/>
        <w:gridCol w:w="997"/>
      </w:tblGrid>
      <w:tr w:rsidR="00572EFA" w:rsidTr="00E76B10">
        <w:trPr>
          <w:trHeight w:val="225"/>
        </w:trPr>
        <w:tc>
          <w:tcPr>
            <w:tcW w:w="5147" w:type="dxa"/>
            <w:gridSpan w:val="4"/>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Heteroskedasticity Test: White</w:t>
            </w: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8.412760</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Prob. F(44,15)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0.0000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Obs*R-squared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57.66332</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Prob. Chi-Square(44)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0.0811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Scaled explained SS</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47.07848</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Prob. Chi-Square(44)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0.3477</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120" w:type="dxa"/>
            <w:gridSpan w:val="2"/>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Test Equation:</w:t>
            </w: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939"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RESID^2</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939"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Least Squares</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939"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09/22/19   Time: 16:53</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939"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2014M01 2018M12</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939"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60</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5.15E+10</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6.21E+10</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0.828285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0.4205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2973560.</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9958464.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0.298596</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0.7693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INFLASI*BIRATE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29994762</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22719622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1.320214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0.2066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INFLASI*NILAITUKAR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22468.99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39016.48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0.575884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0.5732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1.64E+08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1.12E+08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1.462275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0.1643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2142897.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20394145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0.105074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0.9177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8643161.</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5372410.</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1.608805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0.1285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9417685.</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5749100.</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1.638115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0.1222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-23139527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36966748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-0.625955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0.5408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-2.21E+09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1.12E+09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-1.972693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0.0673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45945355</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31692576</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1.449720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0.1677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BIRATE*NILAITUKAR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-14589.04</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64444.92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-0.226380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0.8240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-41577985</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1.12E+08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-0.371885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0.7152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-24897265</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26416805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-0.942478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0.3609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-17050807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12671307</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-1.345623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0.1984</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-10708791</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11976388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-0.894159</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0.3854</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-94596144</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37165224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-2.545287</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0.0224</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2.99E+09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2.19E+09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1.363603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0.1928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lastRenderedPageBreak/>
              <w:t>NILAITUKAR^2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-83.91757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33.64741</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-2.494028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0.0248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-42297.99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168424.6</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-0.251139</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0.8051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117415.7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42917.26</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2.735863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0.0153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15588.51</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11161.78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1.396597</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0.1829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10267.37</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16893.52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0.607770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0.5524</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165732.9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94776.90</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1.748663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0.1008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-2777054.</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2804664.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-0.990156</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0.3378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4.58E+08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2.16E+08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2.125393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0.0506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-1.70E+08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83276959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-2.038075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0.0596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-39211722</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25556685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-1.534304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0.1458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-16864079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26739854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-0.630672</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0.5377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2.87E+08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1.60E+08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1.799884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0.0920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6.02E+09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6.71E+09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0.898288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0.3832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-5516033.</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13829247</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-0.398867</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0.6956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-7687103.</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8118578.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-0.946853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0.3587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12710332</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8367839.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1.518950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0.1496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-39831629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32069905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-1.242025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0.2333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-1.28E+09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1.56E+09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-0.824345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0.4227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-1231514.</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595765.5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-2.067113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0.0564</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928607.2</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2346492.</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0.395743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0.6979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-5484979.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17547153</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-0.312585</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0.7589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1.87E+08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4.36E+08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0.429953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0.6733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FDR^2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1038741.</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1860390.</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0.558346</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0.5848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FDR*NPF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29683934</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11488754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2.583738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0.0208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-7.17E+08</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6.60E+08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-1.084964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0.2951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NPF^2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-24918501</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54605936</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-0.456333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0.6547</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-2.96E+09</w:t>
            </w:r>
          </w:p>
        </w:tc>
        <w:tc>
          <w:tcPr>
            <w:tcW w:w="819"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2.44E+09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-1.212579</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0.2440</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0.961055</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44883095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0.846817</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68044006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26631429</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37.14679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1.06E+16</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38.71755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-1069.404</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37.76120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8.412760</w:t>
            </w:r>
          </w:p>
        </w:tc>
        <w:tc>
          <w:tcPr>
            <w:tcW w:w="2027"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2.495469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0.000029</w:t>
            </w:r>
          </w:p>
        </w:tc>
        <w:tc>
          <w:tcPr>
            <w:tcW w:w="819"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819"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bl>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multikolinearitas</w:t>
      </w:r>
    </w:p>
    <w:tbl>
      <w:tblPr>
        <w:tblW w:w="84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850"/>
        <w:gridCol w:w="851"/>
        <w:gridCol w:w="709"/>
        <w:gridCol w:w="1134"/>
        <w:gridCol w:w="851"/>
        <w:gridCol w:w="850"/>
        <w:gridCol w:w="992"/>
        <w:gridCol w:w="709"/>
        <w:gridCol w:w="709"/>
      </w:tblGrid>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tcPr>
          <w:p w:rsidR="00572EFA" w:rsidRDefault="00572EFA" w:rsidP="00E76B10">
            <w:pPr>
              <w:autoSpaceDE w:val="0"/>
              <w:autoSpaceDN w:val="0"/>
              <w:adjustRightInd w:val="0"/>
              <w:spacing w:after="0" w:line="240" w:lineRule="auto"/>
              <w:jc w:val="center"/>
              <w:rPr>
                <w:rFonts w:ascii="Arial" w:hAnsi="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UMKM</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INFLASI</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BIRATE</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NILAITUKAR</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ROA</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CAR</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BOPO</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FDR</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NPF</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UMKM</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0.5743390511342759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0.442724968767214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-0.7022701415536095</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-0.07642872523385561</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-0.02326672285760505</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-0.5528673724085529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0.6416637810211521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-0.6010486819649168</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INFLASI</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0.5743390511342759</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0.7761922078315456</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-0.53460230851324</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-0.3284198585121866</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-0.438215663002539</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-0.2482842655118942</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0.6945565603801418</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-0.0986416898669138</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BIRATE</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0.442724968767214</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0.7761922078315456</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-0.4436380118747935</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-0.2400044687235082</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-0.4252296160718888</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-0.2897910105981251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0.7950219992220518</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-0.04342690433140805</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KURS</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-0.7022701415536095</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-0.53460230851324</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-0.4436380118747935</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0.2032829353750504</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0.5017464656757107</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0.4779307734520555</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-0.798667930616279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0.143627855592564</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lastRenderedPageBreak/>
              <w:t>ROA</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-0.07642872523385561</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-0.3284198585121866</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-0.2400044687235082</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0.2032829353750504</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0.6325555089643014</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-0.381887078282389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-0.3572002059106125</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-0.4151960469942657</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CAR</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-0.02326672285760505</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-0.438215663002539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-0.4252296160718888</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0.5017464656757107</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0.6325555089643014</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-0.2786868761406692</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-0.5676172608266241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-0.6071733976716888</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BOPO</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-0.5528673724085529</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-0.2482842655118942</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-0.2897910105981251</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0.4779307734520555</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-0.381887078282389</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-0.2786868761406692</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-0.4345091598966866</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0.6377322039837038</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FDR</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0.6416637810211521</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0.6945565603801418</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0.7950219992220518</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-0.798667930616279</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-0.3572002059106125</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-0.5676172608266241</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-0.4345091598966866</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-0.1167430304109349</w:t>
            </w:r>
          </w:p>
        </w:tc>
      </w:tr>
      <w:tr w:rsidR="00572EFA" w:rsidTr="00E76B10">
        <w:trPr>
          <w:trHeight w:val="225"/>
        </w:trPr>
        <w:tc>
          <w:tcPr>
            <w:tcW w:w="816"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NPF</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-0.6010486819649168</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-0.0986416898669138</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-0.04342690433140805</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0.143627855592564</w:t>
            </w:r>
          </w:p>
        </w:tc>
        <w:tc>
          <w:tcPr>
            <w:tcW w:w="851"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-0.4151960469942657</w:t>
            </w:r>
          </w:p>
        </w:tc>
        <w:tc>
          <w:tcPr>
            <w:tcW w:w="850"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-0.6071733976716888</w:t>
            </w:r>
          </w:p>
        </w:tc>
        <w:tc>
          <w:tcPr>
            <w:tcW w:w="992"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0.6377322039837038</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-0.1167430304109349</w:t>
            </w:r>
          </w:p>
        </w:tc>
        <w:tc>
          <w:tcPr>
            <w:tcW w:w="709" w:type="dxa"/>
            <w:tcBorders>
              <w:top w:val="single" w:sz="4" w:space="0" w:color="auto"/>
              <w:left w:val="single" w:sz="4" w:space="0" w:color="auto"/>
              <w:bottom w:val="single" w:sz="4" w:space="0" w:color="auto"/>
              <w:right w:val="single" w:sz="4" w:space="0" w:color="auto"/>
            </w:tcBorders>
            <w:vAlign w:val="bottom"/>
            <w:hideMark/>
          </w:tcPr>
          <w:p w:rsidR="00572EFA" w:rsidRDefault="00572EFA" w:rsidP="00E76B10">
            <w:pPr>
              <w:autoSpaceDE w:val="0"/>
              <w:autoSpaceDN w:val="0"/>
              <w:adjustRightInd w:val="0"/>
              <w:spacing w:after="0" w:line="240" w:lineRule="auto"/>
              <w:jc w:val="center"/>
              <w:rPr>
                <w:rFonts w:ascii="Arial" w:hAnsi="Arial"/>
                <w:color w:val="000000"/>
                <w:sz w:val="16"/>
                <w:szCs w:val="16"/>
              </w:rPr>
            </w:pPr>
            <w:r>
              <w:rPr>
                <w:rFonts w:ascii="Arial" w:hAnsi="Arial"/>
                <w:color w:val="000000"/>
                <w:sz w:val="16"/>
                <w:szCs w:val="16"/>
              </w:rPr>
              <w:t>1</w:t>
            </w:r>
          </w:p>
        </w:tc>
      </w:tr>
    </w:tbl>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p>
    <w:p w:rsidR="00572EFA" w:rsidRDefault="00572EFA" w:rsidP="00572EF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Autokorelasi</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572EFA" w:rsidTr="00E76B10">
        <w:trPr>
          <w:trHeight w:val="225"/>
        </w:trPr>
        <w:tc>
          <w:tcPr>
            <w:tcW w:w="5535" w:type="dxa"/>
            <w:gridSpan w:val="4"/>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Breusch-Godfrey Serial Correlation LM Test:</w:t>
            </w: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1.100985</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Prob. F(2,49)</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0.3406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Obs*R-squared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2.580334</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Prob. Chi-Square(2)</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highlight w:val="yellow"/>
              </w:rPr>
            </w:pPr>
            <w:r>
              <w:rPr>
                <w:rFonts w:ascii="Arial" w:hAnsi="Arial"/>
                <w:color w:val="000000"/>
                <w:sz w:val="18"/>
                <w:szCs w:val="18"/>
                <w:highlight w:val="yellow"/>
              </w:rPr>
              <w:t>0.2752</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3120" w:type="dxa"/>
            <w:gridSpan w:val="2"/>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Test Equation:</w:t>
            </w: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Dependent Variable: RESID</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Method: Least Squares</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Date: 09/22/19   Time: 16:53</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Sample: 2014M01 2018M12</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4327" w:type="dxa"/>
            <w:gridSpan w:val="3"/>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Included observations: 60</w:t>
            </w: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6532" w:type="dxa"/>
            <w:gridSpan w:val="5"/>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Presample missing value lagged residuals set to zero.</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Variable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Coefficient</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Std. Error</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t-Statistic</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Prob.  </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21481.81</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82495.48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0.260400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0.7956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INFLASI</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-65.01087</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1043.344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-0.062310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0.9506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BIRATE</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-59.91665</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1827.099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-0.032793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0.9740</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NILAITUKAR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1.035458</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2.622185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0.394883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0.6946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ROA</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-459.5673</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4401.029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-0.104423</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0.9173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CAR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-753.7159</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1389.954</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-0.542260</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0.5901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BOPO</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-129.9112</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298.4489</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-0.435288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0.6653</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FDR</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-65.95650</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477.7791</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-0.138048</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0.8908</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NPF</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-871.3063</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2729.775</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-0.319186</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0.7509</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RESID(-1)</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0.232943</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0.157108</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1.482694</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0.1446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jc w:val="center"/>
              <w:rPr>
                <w:rFonts w:ascii="Arial" w:hAnsi="Arial"/>
                <w:color w:val="000000"/>
                <w:sz w:val="18"/>
                <w:szCs w:val="18"/>
              </w:rPr>
            </w:pPr>
            <w:r>
              <w:rPr>
                <w:rFonts w:ascii="Arial" w:hAnsi="Arial"/>
                <w:color w:val="000000"/>
                <w:sz w:val="18"/>
                <w:szCs w:val="18"/>
              </w:rPr>
              <w:t>RESID(-2)</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-0.018179</w:t>
            </w:r>
          </w:p>
        </w:tc>
        <w:tc>
          <w:tcPr>
            <w:tcW w:w="120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0.151071</w:t>
            </w:r>
          </w:p>
        </w:tc>
        <w:tc>
          <w:tcPr>
            <w:tcW w:w="1208"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-0.120337</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0.9047</w:t>
            </w: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0.043006</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Mean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-3.92E-11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Adjusted R-squared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-0.152299</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S.D. dependent var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6756.021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S.E. of regression</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7252.265</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Akaike info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20.78016</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Sum squared resid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2.58E+09</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Schwarz criterion</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21.16412</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Log likelihood</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-612.4047</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Hannan-Quinn criter.</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20.93035</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lastRenderedPageBreak/>
              <w:t>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0.220197</w:t>
            </w:r>
          </w:p>
        </w:tc>
        <w:tc>
          <w:tcPr>
            <w:tcW w:w="2415" w:type="dxa"/>
            <w:gridSpan w:val="2"/>
            <w:vAlign w:val="bottom"/>
            <w:hideMark/>
          </w:tcPr>
          <w:p w:rsidR="00572EFA" w:rsidRDefault="00572EFA" w:rsidP="00E76B10">
            <w:pPr>
              <w:autoSpaceDE w:val="0"/>
              <w:autoSpaceDN w:val="0"/>
              <w:adjustRightInd w:val="0"/>
              <w:spacing w:after="0" w:line="240" w:lineRule="auto"/>
              <w:ind w:right="10"/>
              <w:rPr>
                <w:rFonts w:ascii="Arial" w:hAnsi="Arial"/>
                <w:color w:val="000000"/>
                <w:sz w:val="18"/>
                <w:szCs w:val="18"/>
              </w:rPr>
            </w:pPr>
            <w:r>
              <w:rPr>
                <w:rFonts w:ascii="Arial" w:hAnsi="Arial"/>
                <w:color w:val="000000"/>
                <w:sz w:val="18"/>
                <w:szCs w:val="18"/>
              </w:rPr>
              <w:t>    Durbin-Watson stat</w:t>
            </w:r>
          </w:p>
        </w:tc>
        <w:tc>
          <w:tcPr>
            <w:tcW w:w="997"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1.929171</w:t>
            </w:r>
          </w:p>
        </w:tc>
      </w:tr>
      <w:tr w:rsidR="00572EFA" w:rsidTr="00E76B10">
        <w:trPr>
          <w:trHeight w:val="225"/>
        </w:trPr>
        <w:tc>
          <w:tcPr>
            <w:tcW w:w="2017" w:type="dxa"/>
            <w:vAlign w:val="bottom"/>
            <w:hideMark/>
          </w:tcPr>
          <w:p w:rsidR="00572EFA" w:rsidRDefault="00572EFA" w:rsidP="00E76B10">
            <w:pPr>
              <w:autoSpaceDE w:val="0"/>
              <w:autoSpaceDN w:val="0"/>
              <w:adjustRightInd w:val="0"/>
              <w:spacing w:after="0" w:line="240" w:lineRule="auto"/>
              <w:rPr>
                <w:rFonts w:ascii="Arial" w:hAnsi="Arial"/>
                <w:color w:val="000000"/>
                <w:sz w:val="18"/>
                <w:szCs w:val="18"/>
              </w:rPr>
            </w:pPr>
            <w:r>
              <w:rPr>
                <w:rFonts w:ascii="Arial" w:hAnsi="Arial"/>
                <w:color w:val="000000"/>
                <w:sz w:val="18"/>
                <w:szCs w:val="18"/>
              </w:rPr>
              <w:t>Prob(F-statistic)</w:t>
            </w:r>
          </w:p>
        </w:tc>
        <w:tc>
          <w:tcPr>
            <w:tcW w:w="1103" w:type="dxa"/>
            <w:vAlign w:val="bottom"/>
            <w:hideMark/>
          </w:tcPr>
          <w:p w:rsidR="00572EFA" w:rsidRDefault="00572EFA" w:rsidP="00E76B10">
            <w:pPr>
              <w:autoSpaceDE w:val="0"/>
              <w:autoSpaceDN w:val="0"/>
              <w:adjustRightInd w:val="0"/>
              <w:spacing w:after="0" w:line="240" w:lineRule="auto"/>
              <w:ind w:right="10"/>
              <w:jc w:val="right"/>
              <w:rPr>
                <w:rFonts w:ascii="Arial" w:hAnsi="Arial"/>
                <w:color w:val="000000"/>
                <w:sz w:val="18"/>
                <w:szCs w:val="18"/>
              </w:rPr>
            </w:pPr>
            <w:r>
              <w:rPr>
                <w:rFonts w:ascii="Arial" w:hAnsi="Arial"/>
                <w:color w:val="000000"/>
                <w:sz w:val="18"/>
                <w:szCs w:val="18"/>
              </w:rPr>
              <w:t>0.993179</w:t>
            </w:r>
          </w:p>
        </w:tc>
        <w:tc>
          <w:tcPr>
            <w:tcW w:w="1207"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ind w:right="10"/>
              <w:jc w:val="center"/>
              <w:rPr>
                <w:rFonts w:ascii="Arial" w:hAnsi="Arial"/>
                <w:color w:val="000000"/>
                <w:sz w:val="18"/>
                <w:szCs w:val="18"/>
              </w:rPr>
            </w:pPr>
          </w:p>
        </w:tc>
      </w:tr>
      <w:tr w:rsidR="00572EFA" w:rsidTr="00E76B10">
        <w:trPr>
          <w:trHeight w:hRule="exact" w:val="90"/>
        </w:trPr>
        <w:tc>
          <w:tcPr>
            <w:tcW w:w="201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r w:rsidR="00572EFA" w:rsidTr="00E76B10">
        <w:trPr>
          <w:trHeight w:hRule="exact" w:val="135"/>
        </w:trPr>
        <w:tc>
          <w:tcPr>
            <w:tcW w:w="201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103"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1208"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c>
          <w:tcPr>
            <w:tcW w:w="997" w:type="dxa"/>
            <w:vAlign w:val="bottom"/>
          </w:tcPr>
          <w:p w:rsidR="00572EFA" w:rsidRDefault="00572EFA" w:rsidP="00E76B10">
            <w:pPr>
              <w:autoSpaceDE w:val="0"/>
              <w:autoSpaceDN w:val="0"/>
              <w:adjustRightInd w:val="0"/>
              <w:spacing w:after="0" w:line="240" w:lineRule="auto"/>
              <w:jc w:val="center"/>
              <w:rPr>
                <w:rFonts w:ascii="Arial" w:hAnsi="Arial"/>
                <w:color w:val="000000"/>
                <w:sz w:val="18"/>
                <w:szCs w:val="18"/>
              </w:rPr>
            </w:pPr>
          </w:p>
        </w:tc>
      </w:tr>
    </w:tbl>
    <w:p w:rsidR="00572EFA" w:rsidRPr="00F907D6" w:rsidRDefault="00572EFA" w:rsidP="00572EFA">
      <w:pPr>
        <w:spacing w:line="240" w:lineRule="auto"/>
        <w:jc w:val="both"/>
        <w:rPr>
          <w:rFonts w:ascii="Times New Roman" w:hAnsi="Times New Roman" w:cs="Times New Roman"/>
          <w:b/>
          <w:bCs/>
          <w:sz w:val="24"/>
          <w:szCs w:val="24"/>
        </w:rPr>
      </w:pPr>
    </w:p>
    <w:p w:rsidR="00572EFA" w:rsidRPr="00572EFA" w:rsidRDefault="00572EFA" w:rsidP="004B03FF">
      <w:pPr>
        <w:rPr>
          <w:rFonts w:asciiTheme="majorBidi" w:hAnsiTheme="majorBidi" w:cstheme="majorBidi"/>
          <w:sz w:val="24"/>
          <w:szCs w:val="24"/>
          <w:lang w:val="en-US"/>
        </w:rPr>
      </w:pPr>
      <w:bookmarkStart w:id="0" w:name="_GoBack"/>
      <w:bookmarkEnd w:id="0"/>
    </w:p>
    <w:sectPr w:rsidR="00572EFA" w:rsidRPr="00572E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B1B" w:rsidRDefault="005C0B1B" w:rsidP="004B03FF">
      <w:pPr>
        <w:spacing w:after="0" w:line="240" w:lineRule="auto"/>
      </w:pPr>
      <w:r>
        <w:separator/>
      </w:r>
    </w:p>
  </w:endnote>
  <w:endnote w:type="continuationSeparator" w:id="0">
    <w:p w:rsidR="005C0B1B" w:rsidRDefault="005C0B1B" w:rsidP="004B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B1B" w:rsidRDefault="005C0B1B" w:rsidP="004B03FF">
      <w:pPr>
        <w:spacing w:after="0" w:line="240" w:lineRule="auto"/>
      </w:pPr>
      <w:r>
        <w:separator/>
      </w:r>
    </w:p>
  </w:footnote>
  <w:footnote w:type="continuationSeparator" w:id="0">
    <w:p w:rsidR="005C0B1B" w:rsidRDefault="005C0B1B" w:rsidP="004B03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FF"/>
    <w:rsid w:val="000458DF"/>
    <w:rsid w:val="00285B17"/>
    <w:rsid w:val="002C133E"/>
    <w:rsid w:val="00375DBF"/>
    <w:rsid w:val="0039398F"/>
    <w:rsid w:val="00480D9E"/>
    <w:rsid w:val="004B03FF"/>
    <w:rsid w:val="00563BF5"/>
    <w:rsid w:val="00572EFA"/>
    <w:rsid w:val="005C0B1B"/>
    <w:rsid w:val="006D512C"/>
    <w:rsid w:val="006F3CCD"/>
    <w:rsid w:val="00835FCA"/>
    <w:rsid w:val="008C62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0147-F993-4DAB-8F5E-7AA4142E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qFormat/>
    <w:rsid w:val="00572EFA"/>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B03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4B03FF"/>
    <w:rPr>
      <w:rFonts w:ascii="Times New Roman" w:eastAsia="Times New Roman" w:hAnsi="Times New Roman" w:cs="Times New Roman"/>
      <w:sz w:val="20"/>
      <w:szCs w:val="20"/>
    </w:rPr>
  </w:style>
  <w:style w:type="character" w:styleId="FootnoteReference">
    <w:name w:val="footnote reference"/>
    <w:uiPriority w:val="99"/>
    <w:semiHidden/>
    <w:rsid w:val="004B03FF"/>
    <w:rPr>
      <w:rFonts w:cs="Times New Roman"/>
      <w:vertAlign w:val="superscript"/>
    </w:rPr>
  </w:style>
  <w:style w:type="paragraph" w:customStyle="1" w:styleId="Authors">
    <w:name w:val="Authors"/>
    <w:basedOn w:val="Normal"/>
    <w:autoRedefine/>
    <w:rsid w:val="00572EFA"/>
    <w:pPr>
      <w:widowControl w:val="0"/>
      <w:autoSpaceDE w:val="0"/>
      <w:autoSpaceDN w:val="0"/>
      <w:adjustRightInd w:val="0"/>
      <w:spacing w:before="240" w:after="240" w:line="240" w:lineRule="auto"/>
      <w:jc w:val="center"/>
    </w:pPr>
    <w:rPr>
      <w:rFonts w:ascii="Times New Roman" w:eastAsia="BatangChe" w:hAnsi="Times New Roman" w:cs="Times New Roman"/>
      <w:b/>
      <w:sz w:val="24"/>
      <w:szCs w:val="20"/>
      <w:lang w:val="en-US" w:eastAsia="ko-KR"/>
    </w:rPr>
  </w:style>
  <w:style w:type="paragraph" w:customStyle="1" w:styleId="Addresses">
    <w:name w:val="Addresses"/>
    <w:basedOn w:val="Normal"/>
    <w:rsid w:val="00572EFA"/>
    <w:pPr>
      <w:widowControl w:val="0"/>
      <w:autoSpaceDE w:val="0"/>
      <w:autoSpaceDN w:val="0"/>
      <w:adjustRightInd w:val="0"/>
      <w:spacing w:after="0" w:line="360" w:lineRule="auto"/>
      <w:jc w:val="center"/>
    </w:pPr>
    <w:rPr>
      <w:rFonts w:ascii="Times New Roman" w:eastAsia="BatangChe" w:hAnsi="Times New Roman" w:cs="Times New Roman"/>
      <w:i/>
      <w:sz w:val="24"/>
      <w:szCs w:val="20"/>
      <w:lang w:val="en-US" w:eastAsia="ko-KR"/>
    </w:rPr>
  </w:style>
  <w:style w:type="character" w:customStyle="1" w:styleId="Heading1Char">
    <w:name w:val="Heading 1 Char"/>
    <w:basedOn w:val="DefaultParagraphFont"/>
    <w:link w:val="Heading1"/>
    <w:rsid w:val="00572EFA"/>
    <w:rPr>
      <w:rFonts w:ascii="Times New Roman" w:eastAsia="Times New Roman" w:hAnsi="Times New Roman" w:cs="Times New Roman"/>
      <w:b/>
      <w:i/>
      <w:sz w:val="40"/>
      <w:szCs w:val="20"/>
    </w:rPr>
  </w:style>
  <w:style w:type="character" w:styleId="Hyperlink">
    <w:name w:val="Hyperlink"/>
    <w:uiPriority w:val="99"/>
    <w:rsid w:val="00572EFA"/>
    <w:rPr>
      <w:color w:val="0000FF"/>
      <w:u w:val="single"/>
    </w:rPr>
  </w:style>
  <w:style w:type="paragraph" w:styleId="ListParagraph">
    <w:name w:val="List Paragraph"/>
    <w:basedOn w:val="Normal"/>
    <w:uiPriority w:val="34"/>
    <w:qFormat/>
    <w:rsid w:val="00572EFA"/>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tlid-translation">
    <w:name w:val="tlid-translation"/>
    <w:rsid w:val="00572EFA"/>
  </w:style>
  <w:style w:type="table" w:customStyle="1" w:styleId="PlainTable21">
    <w:name w:val="Plain Table 21"/>
    <w:basedOn w:val="TableNormal"/>
    <w:uiPriority w:val="42"/>
    <w:rsid w:val="00572EFA"/>
    <w:pPr>
      <w:spacing w:after="0" w:line="240" w:lineRule="auto"/>
    </w:pPr>
    <w:rPr>
      <w:rFonts w:ascii="Times New Roman" w:eastAsia="Calibri" w:hAnsi="Times New Roman" w:cs="Times New Roman"/>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572EF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2EFA"/>
    <w:pPr>
      <w:tabs>
        <w:tab w:val="center" w:pos="4680"/>
        <w:tab w:val="right" w:pos="9360"/>
      </w:tabs>
    </w:pPr>
    <w:rPr>
      <w:rFonts w:ascii="Calibri" w:eastAsia="Calibri" w:hAnsi="Calibri" w:cs="Arial"/>
      <w:lang w:val="en-US"/>
    </w:rPr>
  </w:style>
  <w:style w:type="character" w:customStyle="1" w:styleId="HeaderChar">
    <w:name w:val="Header Char"/>
    <w:basedOn w:val="DefaultParagraphFont"/>
    <w:link w:val="Header"/>
    <w:uiPriority w:val="99"/>
    <w:rsid w:val="00572EFA"/>
    <w:rPr>
      <w:rFonts w:ascii="Calibri" w:eastAsia="Calibri" w:hAnsi="Calibri" w:cs="Arial"/>
    </w:rPr>
  </w:style>
  <w:style w:type="paragraph" w:styleId="Footer">
    <w:name w:val="footer"/>
    <w:basedOn w:val="Normal"/>
    <w:link w:val="FooterChar"/>
    <w:uiPriority w:val="99"/>
    <w:unhideWhenUsed/>
    <w:rsid w:val="00572EFA"/>
    <w:pPr>
      <w:tabs>
        <w:tab w:val="center" w:pos="4680"/>
        <w:tab w:val="right" w:pos="9360"/>
      </w:tabs>
    </w:pPr>
    <w:rPr>
      <w:rFonts w:ascii="Calibri" w:eastAsia="Calibri" w:hAnsi="Calibri" w:cs="Arial"/>
      <w:lang w:val="en-US"/>
    </w:rPr>
  </w:style>
  <w:style w:type="character" w:customStyle="1" w:styleId="FooterChar">
    <w:name w:val="Footer Char"/>
    <w:basedOn w:val="DefaultParagraphFont"/>
    <w:link w:val="Footer"/>
    <w:uiPriority w:val="99"/>
    <w:rsid w:val="00572EFA"/>
    <w:rPr>
      <w:rFonts w:ascii="Calibri" w:eastAsia="Calibri" w:hAnsi="Calibri" w:cs="Arial"/>
    </w:rPr>
  </w:style>
  <w:style w:type="table" w:customStyle="1" w:styleId="ListTable6Colorful1">
    <w:name w:val="List Table 6 Colorful1"/>
    <w:basedOn w:val="TableNormal"/>
    <w:uiPriority w:val="51"/>
    <w:rsid w:val="00572EFA"/>
    <w:pPr>
      <w:spacing w:after="0" w:line="240" w:lineRule="auto"/>
    </w:pPr>
    <w:rPr>
      <w:rFonts w:ascii="Calibri" w:eastAsia="Calibri" w:hAnsi="Calibri" w:cs="Arial"/>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semiHidden/>
    <w:unhideWhenUsed/>
    <w:rsid w:val="00572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72EFA"/>
    <w:rPr>
      <w:i/>
      <w:iCs/>
    </w:rPr>
  </w:style>
  <w:style w:type="paragraph" w:styleId="BalloonText">
    <w:name w:val="Balloon Text"/>
    <w:basedOn w:val="Normal"/>
    <w:link w:val="BalloonTextChar"/>
    <w:uiPriority w:val="99"/>
    <w:semiHidden/>
    <w:unhideWhenUsed/>
    <w:rsid w:val="00572E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572EF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2019-10-23T13:40:00Z</dcterms:created>
  <dcterms:modified xsi:type="dcterms:W3CDTF">2019-10-23T15:07:00Z</dcterms:modified>
</cp:coreProperties>
</file>